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5B1B49" w:rsidP="005B1B49" w:rsidRDefault="005B1B49" w14:paraId="31538958" w14:textId="77777777">
      <w:pPr>
        <w:pStyle w:val="SensirionSubtitle"/>
      </w:pPr>
    </w:p>
    <w:p w:rsidRPr="005B1B49" w:rsidR="005B1B49" w:rsidP="005B1B49" w:rsidRDefault="005B1B49" w14:paraId="6CC8B76E" w14:textId="77777777">
      <w:pPr>
        <w:pStyle w:val="SensirionSubtitle"/>
        <w:rPr>
          <w:lang w:val="de-CH"/>
        </w:rPr>
      </w:pPr>
      <w:r w:rsidRPr="005B1B49">
        <w:rPr>
          <w:lang w:val="de-CH"/>
        </w:rPr>
        <w:t>Media Release</w:t>
      </w:r>
    </w:p>
    <w:p w:rsidRPr="00845C0A" w:rsidR="005B1B49" w:rsidP="005B1B49" w:rsidRDefault="00845C0A" w14:paraId="6B31D538" w14:textId="54D09B55">
      <w:pPr>
        <w:pStyle w:val="SensirionSubtitle"/>
      </w:pPr>
      <w:r w:rsidR="2585A193">
        <w:rPr/>
        <w:t>June 20</w:t>
      </w:r>
      <w:r w:rsidR="00845C0A">
        <w:rPr/>
        <w:t>26</w:t>
      </w:r>
      <w:r w:rsidR="005B1B49">
        <w:rPr/>
        <w:t xml:space="preserve">, </w:t>
      </w:r>
      <w:r w:rsidR="005B1B49">
        <w:rPr/>
        <w:t>Sensirion</w:t>
      </w:r>
      <w:r w:rsidR="005B1B49">
        <w:rPr/>
        <w:t xml:space="preserve"> AG, 8712 </w:t>
      </w:r>
      <w:r w:rsidR="005B1B49">
        <w:rPr/>
        <w:t>Stäfa</w:t>
      </w:r>
      <w:r w:rsidR="005B1B49">
        <w:rPr/>
        <w:t>, Schweiz</w:t>
      </w:r>
    </w:p>
    <w:p w:rsidRPr="00845C0A" w:rsidR="005B1B49" w:rsidP="005B1B49" w:rsidRDefault="005B1B49" w14:paraId="71CDB2A9" w14:textId="77777777">
      <w:pPr>
        <w:rPr>
          <w:lang w:eastAsia="de-DE"/>
        </w:rPr>
      </w:pPr>
    </w:p>
    <w:p w:rsidRPr="00845C0A" w:rsidR="005B1B49" w:rsidP="005B1B49" w:rsidRDefault="005B1B49" w14:paraId="7B4BFE31" w14:textId="77777777">
      <w:pPr>
        <w:rPr>
          <w:lang w:eastAsia="de-DE"/>
        </w:rPr>
      </w:pPr>
    </w:p>
    <w:p w:rsidRPr="003919B9" w:rsidR="005B1B49" w:rsidP="005B1B49" w:rsidRDefault="00845C0A" w14:paraId="2D63A74C" w14:textId="6E37E5D8">
      <w:pPr>
        <w:pStyle w:val="SensirionTitle"/>
        <w:rPr>
          <w:lang w:eastAsia="de-DE"/>
        </w:rPr>
      </w:pPr>
      <w:proofErr w:type="spellStart"/>
      <w:r w:rsidRPr="003919B9">
        <w:rPr>
          <w:lang w:eastAsia="de-DE"/>
        </w:rPr>
        <w:t>Sensirion</w:t>
      </w:r>
      <w:proofErr w:type="spellEnd"/>
      <w:r w:rsidRPr="003919B9">
        <w:rPr>
          <w:lang w:eastAsia="de-DE"/>
        </w:rPr>
        <w:t xml:space="preserve"> announces global availability of the STC42A Automotive H2 sensor for thermal runaway detection</w:t>
      </w:r>
    </w:p>
    <w:p w:rsidR="00845C0A" w:rsidP="005B1B49" w:rsidRDefault="00845C0A" w14:paraId="60EB4E64" w14:textId="77777777">
      <w:pPr>
        <w:pStyle w:val="SensirionTitle"/>
        <w:rPr>
          <w:lang w:eastAsia="de-DE"/>
        </w:rPr>
      </w:pPr>
    </w:p>
    <w:p w:rsidRPr="003919B9" w:rsidR="00845C0A" w:rsidP="504680AE" w:rsidRDefault="00845C0A" w14:paraId="1B86458F" w14:textId="0755281D">
      <w:pPr>
        <w:pStyle w:val="SensirionTitle"/>
        <w:rPr>
          <w:sz w:val="20"/>
          <w:szCs w:val="20"/>
          <w:lang w:eastAsia="de-DE"/>
        </w:rPr>
      </w:pPr>
      <w:r w:rsidRPr="504680AE" w:rsidR="00845C0A">
        <w:rPr>
          <w:sz w:val="20"/>
          <w:szCs w:val="20"/>
          <w:lang w:eastAsia="de-DE"/>
        </w:rPr>
        <w:t>Sensirion</w:t>
      </w:r>
      <w:r w:rsidRPr="504680AE" w:rsidR="00845C0A">
        <w:rPr>
          <w:sz w:val="20"/>
          <w:szCs w:val="20"/>
          <w:lang w:eastAsia="de-DE"/>
        </w:rPr>
        <w:t xml:space="preserve"> announces the general market availability of the STC42A, the perfect choice for hydrogen detection, both in battery thermal runaway and hydrogen leakage applications. Designed for automotive applications that require reliable hydrogen concentration measurements in clean air, STC42A is now available for purchase through our global network of trusted channel partners.</w:t>
      </w:r>
    </w:p>
    <w:p w:rsidR="504680AE" w:rsidP="504680AE" w:rsidRDefault="504680AE" w14:paraId="233B98F6" w14:textId="43AE91A8">
      <w:pPr>
        <w:pStyle w:val="SensirionTitle"/>
        <w:rPr>
          <w:sz w:val="20"/>
          <w:szCs w:val="20"/>
          <w:lang w:eastAsia="de-DE"/>
        </w:rPr>
      </w:pPr>
    </w:p>
    <w:p w:rsidR="00845C0A" w:rsidP="005B1B49" w:rsidRDefault="00845C0A" w14:paraId="49142394" w14:textId="68F08F4A">
      <w:pPr>
        <w:pStyle w:val="SensirionTitle"/>
        <w:rPr>
          <w:lang w:eastAsia="de-DE"/>
        </w:rPr>
      </w:pPr>
      <w:r w:rsidRPr="00845C0A">
        <w:rPr>
          <w:b/>
          <w:bCs/>
          <w:noProof/>
          <w:sz w:val="20"/>
        </w:rPr>
        <w:drawing>
          <wp:anchor distT="0" distB="0" distL="114300" distR="114300" simplePos="0" relativeHeight="251659264" behindDoc="1" locked="0" layoutInCell="1" allowOverlap="1" wp14:anchorId="6567F455" wp14:editId="6FB5F0E8">
            <wp:simplePos x="0" y="0"/>
            <wp:positionH relativeFrom="margin">
              <wp:align>right</wp:align>
            </wp:positionH>
            <wp:positionV relativeFrom="paragraph">
              <wp:posOffset>259688</wp:posOffset>
            </wp:positionV>
            <wp:extent cx="5760085" cy="3023870"/>
            <wp:effectExtent l="0" t="0" r="0" b="5080"/>
            <wp:wrapTight wrapText="bothSides">
              <wp:wrapPolygon edited="0">
                <wp:start x="0" y="0"/>
                <wp:lineTo x="0" y="21500"/>
                <wp:lineTo x="21502" y="21500"/>
                <wp:lineTo x="21502" y="0"/>
                <wp:lineTo x="0" y="0"/>
              </wp:wrapPolygon>
            </wp:wrapTight>
            <wp:docPr id="1486716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716648" name="Picture 1486716648"/>
                    <pic:cNvPicPr/>
                  </pic:nvPicPr>
                  <pic:blipFill>
                    <a:blip r:embed="rId11">
                      <a:extLst>
                        <a:ext uri="{28A0092B-C50C-407E-A947-70E740481C1C}">
                          <a14:useLocalDpi xmlns:a14="http://schemas.microsoft.com/office/drawing/2010/main" val="0"/>
                        </a:ext>
                      </a:extLst>
                    </a:blip>
                    <a:stretch>
                      <a:fillRect/>
                    </a:stretch>
                  </pic:blipFill>
                  <pic:spPr>
                    <a:xfrm>
                      <a:off x="0" y="0"/>
                      <a:ext cx="5760085" cy="3023870"/>
                    </a:xfrm>
                    <a:prstGeom prst="rect">
                      <a:avLst/>
                    </a:prstGeom>
                  </pic:spPr>
                </pic:pic>
              </a:graphicData>
            </a:graphic>
            <wp14:sizeRelH relativeFrom="margin">
              <wp14:pctWidth>0</wp14:pctWidth>
            </wp14:sizeRelH>
            <wp14:sizeRelV relativeFrom="margin">
              <wp14:pctHeight>0</wp14:pctHeight>
            </wp14:sizeRelV>
          </wp:anchor>
        </w:drawing>
      </w:r>
    </w:p>
    <w:p w:rsidR="00845C0A" w:rsidP="00845C0A" w:rsidRDefault="00845C0A" w14:paraId="088BCE57" w14:textId="77777777">
      <w:pPr>
        <w:rPr>
          <w:lang w:eastAsia="de-DE"/>
        </w:rPr>
      </w:pPr>
      <w:r>
        <w:rPr>
          <w:lang w:eastAsia="de-DE"/>
        </w:rPr>
        <w:t xml:space="preserve">The STC42A is </w:t>
      </w:r>
      <w:proofErr w:type="spellStart"/>
      <w:r>
        <w:rPr>
          <w:lang w:eastAsia="de-DE"/>
        </w:rPr>
        <w:t>Sensirion’s</w:t>
      </w:r>
      <w:proofErr w:type="spellEnd"/>
      <w:r>
        <w:rPr>
          <w:lang w:eastAsia="de-DE"/>
        </w:rPr>
        <w:t xml:space="preserve"> digital thermal conductivity hydrogen sensor, specifically designed for automotive battery monitoring systems (BMS) for early thermal runaway detection in electric vehicles. Qualified according to AEC-Q100 (Grade 2), the STC42A meets stringent automotive reliability and robustness requirements and is optimized for safety-relevant battery applications. The sensor features a digital I2C interface and supports autonomous communication with an external SHT41A humidity and temperature sensor. Via the I2C controller interface, humidity and temperature data are read from the SHT41A sensor and directly fed into the STC42A, enabling real-time absolute humidity compensation of the hydrogen signal.</w:t>
      </w:r>
    </w:p>
    <w:p w:rsidR="00845C0A" w:rsidP="00845C0A" w:rsidRDefault="00845C0A" w14:paraId="76778FC8" w14:textId="77777777">
      <w:pPr>
        <w:rPr>
          <w:lang w:eastAsia="de-DE"/>
        </w:rPr>
      </w:pPr>
    </w:p>
    <w:p w:rsidR="00845C0A" w:rsidP="00845C0A" w:rsidRDefault="00845C0A" w14:paraId="63D3E3FD" w14:textId="77777777">
      <w:pPr>
        <w:rPr>
          <w:lang w:eastAsia="de-DE"/>
        </w:rPr>
      </w:pPr>
      <w:r>
        <w:rPr>
          <w:lang w:eastAsia="de-DE"/>
        </w:rPr>
        <w:t xml:space="preserve">Based on </w:t>
      </w:r>
      <w:proofErr w:type="spellStart"/>
      <w:r>
        <w:rPr>
          <w:lang w:eastAsia="de-DE"/>
        </w:rPr>
        <w:t>Sensirion’s</w:t>
      </w:r>
      <w:proofErr w:type="spellEnd"/>
      <w:r>
        <w:rPr>
          <w:lang w:eastAsia="de-DE"/>
        </w:rPr>
        <w:t xml:space="preserve"> expertise in thermal conductivity sensing, the STC42A is factory calibrated and delivers a fully compensated digital hydrogen output. The proven thermal conductivity measurement principle provides excellent robustness, and long-term stability at lowest power consumption, making the STC42A a reliable sensing solution for safety-critical thermal runaway detection in all battery systems.</w:t>
      </w:r>
    </w:p>
    <w:p w:rsidR="00845C0A" w:rsidP="00845C0A" w:rsidRDefault="00845C0A" w14:paraId="52DE5652" w14:textId="77777777">
      <w:pPr>
        <w:rPr>
          <w:lang w:eastAsia="de-DE"/>
        </w:rPr>
      </w:pPr>
    </w:p>
    <w:p w:rsidR="00845C0A" w:rsidP="00845C0A" w:rsidRDefault="00845C0A" w14:paraId="36A279D5" w14:textId="77777777">
      <w:pPr>
        <w:rPr>
          <w:lang w:eastAsia="de-DE"/>
        </w:rPr>
      </w:pPr>
      <w:r>
        <w:rPr>
          <w:lang w:eastAsia="de-DE"/>
        </w:rPr>
        <w:t xml:space="preserve">As part of the STC4x family, </w:t>
      </w:r>
      <w:proofErr w:type="gramStart"/>
      <w:r>
        <w:rPr>
          <w:lang w:eastAsia="de-DE"/>
        </w:rPr>
        <w:t>the STC42A</w:t>
      </w:r>
      <w:proofErr w:type="gramEnd"/>
      <w:r>
        <w:rPr>
          <w:lang w:eastAsia="de-DE"/>
        </w:rPr>
        <w:t xml:space="preserve"> offers optimized hydrogen gas </w:t>
      </w:r>
      <w:proofErr w:type="spellStart"/>
      <w:r>
        <w:rPr>
          <w:lang w:eastAsia="de-DE"/>
        </w:rPr>
        <w:t>sensoring</w:t>
      </w:r>
      <w:proofErr w:type="spellEnd"/>
      <w:r>
        <w:rPr>
          <w:lang w:eastAsia="de-DE"/>
        </w:rPr>
        <w:t xml:space="preserve"> for thermal runaway applications. It is the perfect choice for hydrogen detection, both in battery thermal runaway and hydrogen leakage applications. The key advantage of STC42A is the outstanding performance based </w:t>
      </w:r>
      <w:r>
        <w:rPr>
          <w:lang w:eastAsia="de-DE"/>
        </w:rPr>
        <w:t xml:space="preserve">on </w:t>
      </w:r>
      <w:proofErr w:type="spellStart"/>
      <w:r>
        <w:rPr>
          <w:lang w:eastAsia="de-DE"/>
        </w:rPr>
        <w:t>Sensirion’s</w:t>
      </w:r>
      <w:proofErr w:type="spellEnd"/>
      <w:r>
        <w:rPr>
          <w:lang w:eastAsia="de-DE"/>
        </w:rPr>
        <w:t xml:space="preserve"> </w:t>
      </w:r>
      <w:proofErr w:type="spellStart"/>
      <w:r>
        <w:rPr>
          <w:lang w:eastAsia="de-DE"/>
        </w:rPr>
        <w:t>CMOSens</w:t>
      </w:r>
      <w:proofErr w:type="spellEnd"/>
      <w:r>
        <w:rPr>
          <w:lang w:eastAsia="de-DE"/>
        </w:rPr>
        <w:t>® sensor technology, which combines the sensor element, signal processing and digital calibration on a single CMOS chip.</w:t>
      </w:r>
    </w:p>
    <w:p w:rsidR="00845C0A" w:rsidP="00845C0A" w:rsidRDefault="00845C0A" w14:paraId="1228A564" w14:textId="77777777">
      <w:pPr>
        <w:rPr>
          <w:lang w:eastAsia="de-DE"/>
        </w:rPr>
      </w:pPr>
    </w:p>
    <w:p w:rsidR="00845C0A" w:rsidP="00845C0A" w:rsidRDefault="00845C0A" w14:paraId="3C5DABF8" w14:textId="79E93CBC">
      <w:pPr>
        <w:rPr>
          <w:lang w:eastAsia="de-DE"/>
        </w:rPr>
      </w:pPr>
      <w:r w:rsidRPr="504680AE" w:rsidR="00845C0A">
        <w:rPr>
          <w:lang w:eastAsia="de-DE"/>
        </w:rPr>
        <w:t xml:space="preserve">“With the STC42A, </w:t>
      </w:r>
      <w:r w:rsidRPr="504680AE" w:rsidR="00845C0A">
        <w:rPr>
          <w:lang w:eastAsia="de-DE"/>
        </w:rPr>
        <w:t>Sensirion</w:t>
      </w:r>
      <w:r w:rsidRPr="504680AE" w:rsidR="00845C0A">
        <w:rPr>
          <w:lang w:eastAsia="de-DE"/>
        </w:rPr>
        <w:t xml:space="preserve"> provides an automotive hydrogen sensor for detecting early gas emissions associated with thermal runaway in batteries. This supports system designers in triggering </w:t>
      </w:r>
      <w:r w:rsidRPr="504680AE" w:rsidR="00845C0A">
        <w:rPr>
          <w:lang w:eastAsia="de-DE"/>
        </w:rPr>
        <w:t>timely</w:t>
      </w:r>
      <w:r w:rsidRPr="504680AE" w:rsidR="00845C0A">
        <w:rPr>
          <w:lang w:eastAsia="de-DE"/>
        </w:rPr>
        <w:t xml:space="preserve"> safety measures in line with emerging 5‑minute warning requirements defined by relevant safety </w:t>
      </w:r>
      <w:r w:rsidRPr="504680AE" w:rsidR="00845C0A">
        <w:rPr>
          <w:lang w:eastAsia="de-DE"/>
        </w:rPr>
        <w:t>standards,</w:t>
      </w:r>
      <w:r w:rsidRPr="504680AE" w:rsidR="00845C0A">
        <w:rPr>
          <w:lang w:eastAsia="de-DE"/>
        </w:rPr>
        <w:t>” says Pascal Erne, Product Manager for battery state monitoring.</w:t>
      </w:r>
    </w:p>
    <w:p w:rsidR="00845C0A" w:rsidP="00845C0A" w:rsidRDefault="00845C0A" w14:paraId="709B1D3C" w14:textId="77777777">
      <w:pPr>
        <w:rPr>
          <w:lang w:eastAsia="de-DE"/>
        </w:rPr>
      </w:pPr>
    </w:p>
    <w:p w:rsidR="00845C0A" w:rsidP="00845C0A" w:rsidRDefault="00845C0A" w14:paraId="09BD8654" w14:textId="77777777">
      <w:pPr>
        <w:rPr>
          <w:lang w:eastAsia="de-DE"/>
        </w:rPr>
      </w:pPr>
      <w:r w:rsidRPr="504680AE" w:rsidR="00845C0A">
        <w:rPr>
          <w:lang w:eastAsia="de-DE"/>
        </w:rPr>
        <w:t xml:space="preserve">For more information or to obtain the STC42A, please visit our </w:t>
      </w:r>
      <w:hyperlink r:id="R48d5555ea09b4332">
        <w:r w:rsidRPr="504680AE" w:rsidR="00845C0A">
          <w:rPr>
            <w:rStyle w:val="Hyperlink"/>
            <w:lang w:eastAsia="de-DE"/>
          </w:rPr>
          <w:t>website</w:t>
        </w:r>
      </w:hyperlink>
      <w:r w:rsidRPr="504680AE" w:rsidR="00845C0A">
        <w:rPr>
          <w:lang w:eastAsia="de-DE"/>
        </w:rPr>
        <w:t xml:space="preserve"> or contact your local </w:t>
      </w:r>
      <w:r w:rsidRPr="504680AE" w:rsidR="00845C0A">
        <w:rPr>
          <w:lang w:eastAsia="de-DE"/>
        </w:rPr>
        <w:t>Sensirion</w:t>
      </w:r>
      <w:r w:rsidRPr="504680AE" w:rsidR="00845C0A">
        <w:rPr>
          <w:lang w:eastAsia="de-DE"/>
        </w:rPr>
        <w:t xml:space="preserve"> distribution partner.</w:t>
      </w:r>
    </w:p>
    <w:p w:rsidRPr="00731020" w:rsidR="00716F33" w:rsidP="00716F33" w:rsidRDefault="00716F33" w14:paraId="68696154" w14:textId="49BDAD37">
      <w:pPr>
        <w:rPr>
          <w:lang w:eastAsia="de-DE"/>
        </w:rPr>
      </w:pPr>
    </w:p>
    <w:p w:rsidRPr="00A92E20" w:rsidR="00ED1987" w:rsidP="005B1B49" w:rsidRDefault="00ED1987" w14:paraId="14586C62" w14:textId="77777777">
      <w:pPr>
        <w:pBdr>
          <w:bottom w:val="single" w:color="auto" w:sz="6" w:space="1"/>
        </w:pBdr>
        <w:rPr>
          <w:lang w:eastAsia="de-DE"/>
        </w:rPr>
      </w:pPr>
    </w:p>
    <w:p w:rsidRPr="00A92E20" w:rsidR="005B1B49" w:rsidP="005B1B49" w:rsidRDefault="005B1B49" w14:paraId="1F4294D0" w14:textId="77777777">
      <w:pPr>
        <w:rPr>
          <w:lang w:eastAsia="de-DE"/>
        </w:rPr>
      </w:pPr>
    </w:p>
    <w:p w:rsidR="005B1B49" w:rsidP="005B1B49" w:rsidRDefault="005B1B49" w14:paraId="5853C5A7" w14:textId="77777777">
      <w:pPr>
        <w:pStyle w:val="SensirionSubtitle"/>
      </w:pPr>
      <w:r>
        <w:t>About Sensirion – Experts for Environmental and Flow Sensor Solutions</w:t>
      </w:r>
    </w:p>
    <w:p w:rsidR="534C778E" w:rsidP="5B3BC13E" w:rsidRDefault="534C778E" w14:paraId="42E41405" w14:textId="3847C581">
      <w:pPr>
        <w:rPr>
          <w:rFonts w:ascii="Segoe UI" w:hAnsi="Segoe UI" w:eastAsia="Segoe UI" w:cs="Segoe UI"/>
        </w:rPr>
      </w:pPr>
      <w:r w:rsidRPr="5B3BC13E">
        <w:rPr>
          <w:rFonts w:ascii="Segoe UI" w:hAnsi="Segoe UI" w:eastAsia="Segoe UI" w:cs="Segoe UI"/>
          <w:color w:val="000000" w:themeColor="text1"/>
        </w:rPr>
        <w:t xml:space="preserve">Sensirion is one of the world’s leading developers and manufacturers of sensors and sensor solutions that improve efficiency, health, safety, and comfort. Founded in 1998, the company now employs around 1’200 people at its headquarters in Stäfa, Switzerland, and in numerous international subsidiaries. Their product range includes environmental sensors for the precise and reliable measurement of humidity and temperature, volatile organic compounds (VOC), nitrogen oxides (NOx), carbon dioxide (CO₂), formaldehyde and particulate matter (PM2.5), as well as gas and liquid flow sensors, differential pressure sensors, and gas leakage sensors. These solutions are used across a wide range of applications. As a pioneer in innovation, Sensirion develops solutions for the specific needs of customers and partners from the automotive, industrial, medical, HVAC and consumer electronics markets, as well as high-quality products for cost-efficient mass production. More information and current key figures are available at </w:t>
      </w:r>
      <w:hyperlink r:id="rId12">
        <w:r w:rsidRPr="5B3BC13E">
          <w:rPr>
            <w:rStyle w:val="Hyperlink"/>
            <w:rFonts w:ascii="Segoe UI" w:hAnsi="Segoe UI" w:eastAsia="Segoe UI" w:cs="Segoe UI"/>
          </w:rPr>
          <w:t>www.sensirion.com</w:t>
        </w:r>
      </w:hyperlink>
      <w:r w:rsidRPr="5B3BC13E">
        <w:rPr>
          <w:rFonts w:ascii="Segoe UI" w:hAnsi="Segoe UI" w:eastAsia="Segoe UI" w:cs="Segoe UI"/>
          <w:color w:val="000000" w:themeColor="text1"/>
        </w:rPr>
        <w:t>.</w:t>
      </w:r>
    </w:p>
    <w:p w:rsidR="5B3BC13E" w:rsidP="5B3BC13E" w:rsidRDefault="5B3BC13E" w14:paraId="3E4CCD8F" w14:textId="3AF306D4">
      <w:pPr>
        <w:jc w:val="both"/>
        <w:rPr>
          <w:lang w:eastAsia="de-DE"/>
        </w:rPr>
      </w:pPr>
    </w:p>
    <w:p w:rsidRPr="00246D5A" w:rsidR="005B1B49" w:rsidP="005B1B49" w:rsidRDefault="005B1B49" w14:paraId="48670B36" w14:textId="77777777">
      <w:pPr>
        <w:rPr>
          <w:lang w:eastAsia="de-DE"/>
        </w:rPr>
      </w:pPr>
    </w:p>
    <w:p w:rsidRPr="00936C4F" w:rsidR="00986756" w:rsidP="00986756" w:rsidRDefault="00986756" w14:paraId="3425F879" w14:textId="77777777">
      <w:pPr>
        <w:rPr>
          <w:lang w:eastAsia="de-DE"/>
        </w:rPr>
      </w:pPr>
    </w:p>
    <w:sectPr w:rsidRPr="00936C4F" w:rsidR="00986756" w:rsidSect="00C5040D">
      <w:headerReference w:type="default" r:id="rId13"/>
      <w:footerReference w:type="default" r:id="rId14"/>
      <w:headerReference w:type="first" r:id="rId15"/>
      <w:footerReference w:type="first" r:id="rId16"/>
      <w:type w:val="continuous"/>
      <w:pgSz w:w="11906" w:h="16838" w:orient="portrait"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47091" w:rsidP="0054380F" w:rsidRDefault="00847091" w14:paraId="43078086" w14:textId="77777777">
      <w:pPr>
        <w:spacing w:line="240" w:lineRule="auto"/>
      </w:pPr>
      <w:r>
        <w:separator/>
      </w:r>
    </w:p>
  </w:endnote>
  <w:endnote w:type="continuationSeparator" w:id="0">
    <w:p w:rsidR="00847091" w:rsidP="0054380F" w:rsidRDefault="00847091" w14:paraId="01817081"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72AC0" w:rsidR="00D44150" w:rsidP="000B2869" w:rsidRDefault="00D91EAB" w14:paraId="0A4E60E9" w14:textId="77777777">
    <w:pPr>
      <w:pStyle w:val="Footer"/>
    </w:pPr>
    <w:r w:rsidRPr="00372AC0">
      <w:rPr>
        <w:noProof/>
      </w:rPr>
      <w:t>© Copyright Sensirion AG</w:t>
    </w:r>
    <w:r w:rsidRPr="00372AC0">
      <w:tab/>
    </w:r>
    <w:r w:rsidRPr="00372AC0" w:rsidR="00B730FE">
      <w:fldChar w:fldCharType="begin"/>
    </w:r>
    <w:r w:rsidRPr="00372AC0">
      <w:instrText xml:space="preserve"> PAGE </w:instrText>
    </w:r>
    <w:r w:rsidRPr="00372AC0" w:rsidR="00B730FE">
      <w:fldChar w:fldCharType="separate"/>
    </w:r>
    <w:r w:rsidRPr="00372AC0" w:rsidR="00A5624A">
      <w:t>1</w:t>
    </w:r>
    <w:r w:rsidRPr="00372AC0" w:rsidR="00B730FE">
      <w:fldChar w:fldCharType="end"/>
    </w:r>
    <w:r w:rsidRPr="00372AC0">
      <w:t>/</w:t>
    </w:r>
    <w:r w:rsidRPr="00372AC0" w:rsidR="00B730FE">
      <w:fldChar w:fldCharType="begin"/>
    </w:r>
    <w:r w:rsidRPr="00372AC0">
      <w:instrText xml:space="preserve"> NUMPAGES </w:instrText>
    </w:r>
    <w:r w:rsidRPr="00372AC0" w:rsidR="00B730FE">
      <w:fldChar w:fldCharType="separate"/>
    </w:r>
    <w:r w:rsidRPr="00372AC0" w:rsidR="00A5624A">
      <w:t>1</w:t>
    </w:r>
    <w:r w:rsidRPr="00372AC0" w:rsidR="00B730F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44150" w:rsidRDefault="00D44150" w14:paraId="6EAB93D3" w14:textId="77777777">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r>
      <w:fldChar w:fldCharType="begin"/>
    </w:r>
    <w:r>
      <w:instrText>NUMPAGES   \* MERGEFORMAT</w:instrText>
    </w:r>
    <w:r>
      <w:fldChar w:fldCharType="separate"/>
    </w:r>
    <w:r w:rsidR="001156D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47091" w:rsidP="0054380F" w:rsidRDefault="00847091" w14:paraId="47910A54" w14:textId="77777777">
      <w:pPr>
        <w:spacing w:line="240" w:lineRule="auto"/>
      </w:pPr>
      <w:r>
        <w:separator/>
      </w:r>
    </w:p>
  </w:footnote>
  <w:footnote w:type="continuationSeparator" w:id="0">
    <w:p w:rsidR="00847091" w:rsidP="0054380F" w:rsidRDefault="00847091" w14:paraId="77F29F6E"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44150" w:rsidRDefault="00661641" w14:paraId="75328A28" w14:textId="77777777">
    <w:pPr>
      <w:pStyle w:val="Header"/>
    </w:pPr>
    <w:r>
      <w:rPr>
        <w:noProof/>
      </w:rPr>
      <w:drawing>
        <wp:anchor distT="0" distB="0" distL="0" distR="0" simplePos="0" relativeHeight="251655166" behindDoc="1" locked="1" layoutInCell="1" allowOverlap="1" wp14:anchorId="7C0A9420" wp14:editId="3CE18CFB">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44150" w:rsidRDefault="00EE0CB5" w14:paraId="22A84C83" w14:textId="77777777">
    <w:pPr>
      <w:pStyle w:val="Header"/>
    </w:pPr>
    <w:r>
      <w:rPr>
        <w:noProof/>
      </w:rPr>
      <w:drawing>
        <wp:anchor distT="0" distB="0" distL="114300" distR="114300" simplePos="0" relativeHeight="251657216" behindDoc="1" locked="0" layoutInCell="1" allowOverlap="1" wp14:anchorId="33EA4EAE" wp14:editId="3ED9265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hint="default" w:ascii="Symbol" w:hAnsi="Symbol"/>
      </w:rPr>
    </w:lvl>
    <w:lvl w:ilvl="1">
      <w:start w:val="1"/>
      <w:numFmt w:val="bullet"/>
      <w:pStyle w:val="BulletpointsEbene2"/>
      <w:lvlText w:val=""/>
      <w:lvlJc w:val="left"/>
      <w:pPr>
        <w:tabs>
          <w:tab w:val="num" w:pos="907"/>
        </w:tabs>
        <w:ind w:left="907" w:hanging="453"/>
      </w:pPr>
      <w:rPr>
        <w:rFonts w:hint="default" w:ascii="Symbol" w:hAnsi="Symbol"/>
      </w:rPr>
    </w:lvl>
    <w:lvl w:ilvl="2">
      <w:start w:val="1"/>
      <w:numFmt w:val="bullet"/>
      <w:lvlText w:val=""/>
      <w:lvlJc w:val="left"/>
      <w:pPr>
        <w:tabs>
          <w:tab w:val="num" w:pos="1361"/>
        </w:tabs>
        <w:ind w:left="1361" w:hanging="454"/>
      </w:pPr>
      <w:rPr>
        <w:rFonts w:hint="default" w:ascii="Symbol" w:hAnsi="Symbol"/>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hint="default" w:ascii="Wingdings" w:hAnsi="Wingdings"/>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hint="default" w:ascii="Wingdings" w:hAnsi="Wingdings"/>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hint="default" w:ascii="Wingdings" w:hAnsi="Wingdings"/>
      </w:rPr>
    </w:lvl>
  </w:abstractNum>
  <w:abstractNum w:abstractNumId="1" w15:restartNumberingAfterBreak="0">
    <w:nsid w:val="098326B3"/>
    <w:multiLevelType w:val="multilevel"/>
    <w:tmpl w:val="A18ABA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C6D6BD3"/>
    <w:multiLevelType w:val="multilevel"/>
    <w:tmpl w:val="0AACE874"/>
    <w:numStyleLink w:val="SensirionList123Heading"/>
  </w:abstractNum>
  <w:abstractNum w:abstractNumId="3"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4" w15:restartNumberingAfterBreak="0">
    <w:nsid w:val="241C741D"/>
    <w:multiLevelType w:val="multilevel"/>
    <w:tmpl w:val="A85AFB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hint="default" w:ascii="Wingdings" w:hAnsi="Wingdings"/>
      </w:rPr>
    </w:lvl>
    <w:lvl w:ilvl="1">
      <w:start w:val="1"/>
      <w:numFmt w:val="bullet"/>
      <w:lvlText w:val=""/>
      <w:lvlJc w:val="left"/>
      <w:pPr>
        <w:tabs>
          <w:tab w:val="num" w:pos="680"/>
        </w:tabs>
        <w:ind w:left="680" w:hanging="226"/>
      </w:pPr>
      <w:rPr>
        <w:rFonts w:hint="default" w:ascii="Wingdings" w:hAnsi="Wingdings"/>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6"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36342B05"/>
    <w:multiLevelType w:val="multilevel"/>
    <w:tmpl w:val="1D464B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3E394681"/>
    <w:multiLevelType w:val="multilevel"/>
    <w:tmpl w:val="0AACE874"/>
    <w:numStyleLink w:val="SensirionList123Heading"/>
  </w:abstractNum>
  <w:abstractNum w:abstractNumId="9" w15:restartNumberingAfterBreak="0">
    <w:nsid w:val="3FF729E4"/>
    <w:multiLevelType w:val="multilevel"/>
    <w:tmpl w:val="B05C3790"/>
    <w:lvl w:ilvl="0">
      <w:start w:val="1"/>
      <w:numFmt w:val="decimal"/>
      <w:lvlText w:val="%1"/>
      <w:lvlJc w:val="left"/>
      <w:pPr>
        <w:ind w:left="360" w:hanging="360"/>
      </w:pPr>
      <w:rPr>
        <w:rFonts w:hint="default" w:ascii="Arial Narrow" w:hAnsi="Arial Narrow"/>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0" w15:restartNumberingAfterBreak="0">
    <w:nsid w:val="43B9407E"/>
    <w:multiLevelType w:val="multilevel"/>
    <w:tmpl w:val="BECAD1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hint="default" w:ascii="Wingdings" w:hAnsi="Wingdings"/>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Wingdings" w:hAnsi="Wingdings"/>
      </w:rPr>
    </w:lvl>
    <w:lvl w:ilvl="4">
      <w:start w:val="1"/>
      <w:numFmt w:val="bullet"/>
      <w:lvlText w:val=""/>
      <w:lvlJc w:val="left"/>
      <w:pPr>
        <w:ind w:left="1800" w:hanging="360"/>
      </w:pPr>
      <w:rPr>
        <w:rFonts w:hint="default" w:ascii="Wingdings" w:hAnsi="Wingdings"/>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Wingdings" w:hAnsi="Wingdings"/>
      </w:rPr>
    </w:lvl>
    <w:lvl w:ilvl="8">
      <w:start w:val="1"/>
      <w:numFmt w:val="bullet"/>
      <w:lvlText w:val=""/>
      <w:lvlJc w:val="left"/>
      <w:pPr>
        <w:ind w:left="3240" w:hanging="360"/>
      </w:pPr>
      <w:rPr>
        <w:rFonts w:hint="default" w:ascii="Wingdings" w:hAnsi="Wingdings"/>
      </w:rPr>
    </w:lvl>
  </w:abstractNum>
  <w:abstractNum w:abstractNumId="12" w15:restartNumberingAfterBreak="0">
    <w:nsid w:val="4D700547"/>
    <w:multiLevelType w:val="multilevel"/>
    <w:tmpl w:val="3E90A9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hint="default" w:ascii="Symbol" w:hAnsi="Symbol"/>
      </w:rPr>
    </w:lvl>
    <w:lvl w:ilvl="1">
      <w:start w:val="1"/>
      <w:numFmt w:val="bullet"/>
      <w:pStyle w:val="BulletpointsLevel2"/>
      <w:lvlText w:val=""/>
      <w:lvlJc w:val="left"/>
      <w:pPr>
        <w:ind w:left="454" w:hanging="227"/>
      </w:pPr>
      <w:rPr>
        <w:rFonts w:hint="default" w:ascii="Symbol" w:hAnsi="Symbol"/>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hint="default" w:ascii="Symbol" w:hAnsi="Symbol"/>
      </w:rPr>
    </w:lvl>
    <w:lvl w:ilvl="4">
      <w:start w:val="1"/>
      <w:numFmt w:val="bullet"/>
      <w:pStyle w:val="ListBullet2"/>
      <w:lvlText w:val=""/>
      <w:lvlJc w:val="left"/>
      <w:pPr>
        <w:ind w:left="454" w:hanging="227"/>
      </w:pPr>
      <w:rPr>
        <w:rFonts w:hint="default" w:ascii="Symbol" w:hAnsi="Symbol"/>
      </w:rPr>
    </w:lvl>
    <w:lvl w:ilvl="5">
      <w:start w:val="1"/>
      <w:numFmt w:val="bullet"/>
      <w:pStyle w:val="ListBullet3"/>
      <w:lvlText w:val=""/>
      <w:lvlJc w:val="left"/>
      <w:pPr>
        <w:ind w:left="680" w:hanging="226"/>
      </w:pPr>
      <w:rPr>
        <w:rFonts w:hint="default" w:ascii="Symbol" w:hAnsi="Symbol"/>
      </w:rPr>
    </w:lvl>
    <w:lvl w:ilvl="6">
      <w:start w:val="1"/>
      <w:numFmt w:val="bullet"/>
      <w:pStyle w:val="ListBullet4"/>
      <w:lvlText w:val=""/>
      <w:lvlJc w:val="left"/>
      <w:pPr>
        <w:ind w:left="907" w:hanging="227"/>
      </w:pPr>
      <w:rPr>
        <w:rFonts w:hint="default" w:ascii="Symbol" w:hAnsi="Symbol"/>
      </w:rPr>
    </w:lvl>
    <w:lvl w:ilvl="7">
      <w:start w:val="1"/>
      <w:numFmt w:val="bullet"/>
      <w:pStyle w:val="ListBullet5"/>
      <w:lvlText w:val=""/>
      <w:lvlJc w:val="left"/>
      <w:pPr>
        <w:ind w:left="1134" w:hanging="227"/>
      </w:pPr>
      <w:rPr>
        <w:rFonts w:hint="default" w:ascii="Symbol" w:hAnsi="Symbol"/>
      </w:rPr>
    </w:lvl>
    <w:lvl w:ilvl="8">
      <w:start w:val="1"/>
      <w:numFmt w:val="bullet"/>
      <w:lvlText w:val=""/>
      <w:lvlJc w:val="left"/>
      <w:pPr>
        <w:ind w:left="1361" w:hanging="227"/>
      </w:pPr>
      <w:rPr>
        <w:rFonts w:hint="default" w:ascii="Symbol" w:hAnsi="Symbol"/>
      </w:rPr>
    </w:lvl>
  </w:abstractNum>
  <w:abstractNum w:abstractNumId="14" w15:restartNumberingAfterBreak="0">
    <w:nsid w:val="65E6631A"/>
    <w:multiLevelType w:val="multilevel"/>
    <w:tmpl w:val="5C1034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6" w15:restartNumberingAfterBreak="0">
    <w:nsid w:val="79353A7C"/>
    <w:multiLevelType w:val="multilevel"/>
    <w:tmpl w:val="C9A429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7B5F3D46"/>
    <w:multiLevelType w:val="multilevel"/>
    <w:tmpl w:val="B7AA78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00341035">
    <w:abstractNumId w:val="0"/>
  </w:num>
  <w:num w:numId="2" w16cid:durableId="1465200474">
    <w:abstractNumId w:val="11"/>
  </w:num>
  <w:num w:numId="3" w16cid:durableId="1578400284">
    <w:abstractNumId w:val="5"/>
  </w:num>
  <w:num w:numId="4" w16cid:durableId="1091857931">
    <w:abstractNumId w:val="9"/>
  </w:num>
  <w:num w:numId="5" w16cid:durableId="996156133">
    <w:abstractNumId w:val="13"/>
  </w:num>
  <w:num w:numId="6" w16cid:durableId="1545825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6"/>
  </w:num>
  <w:num w:numId="8" w16cid:durableId="1556505634">
    <w:abstractNumId w:val="8"/>
  </w:num>
  <w:num w:numId="9" w16cid:durableId="425276189">
    <w:abstractNumId w:val="2"/>
  </w:num>
  <w:num w:numId="10" w16cid:durableId="1797064802">
    <w:abstractNumId w:val="3"/>
  </w:num>
  <w:num w:numId="11" w16cid:durableId="941187127">
    <w:abstractNumId w:val="15"/>
  </w:num>
  <w:num w:numId="12" w16cid:durableId="537862058">
    <w:abstractNumId w:val="1"/>
  </w:num>
  <w:num w:numId="13" w16cid:durableId="815073376">
    <w:abstractNumId w:val="16"/>
  </w:num>
  <w:num w:numId="14" w16cid:durableId="1026178654">
    <w:abstractNumId w:val="17"/>
  </w:num>
  <w:num w:numId="15" w16cid:durableId="1601527835">
    <w:abstractNumId w:val="14"/>
  </w:num>
  <w:num w:numId="16" w16cid:durableId="285237115">
    <w:abstractNumId w:val="7"/>
  </w:num>
  <w:num w:numId="17" w16cid:durableId="1387682162">
    <w:abstractNumId w:val="12"/>
  </w:num>
  <w:num w:numId="18" w16cid:durableId="1358920974">
    <w:abstractNumId w:val="4"/>
  </w:num>
  <w:num w:numId="19" w16cid:durableId="2081631004">
    <w:abstractNumId w:val="10"/>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60"/>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47"/>
    <w:rsid w:val="00001D48"/>
    <w:rsid w:val="0002682B"/>
    <w:rsid w:val="000406CD"/>
    <w:rsid w:val="000700BD"/>
    <w:rsid w:val="000718AC"/>
    <w:rsid w:val="000903CE"/>
    <w:rsid w:val="00096D1E"/>
    <w:rsid w:val="000B2869"/>
    <w:rsid w:val="000D523B"/>
    <w:rsid w:val="000D7F02"/>
    <w:rsid w:val="000F24EC"/>
    <w:rsid w:val="000F4CED"/>
    <w:rsid w:val="00102207"/>
    <w:rsid w:val="00112447"/>
    <w:rsid w:val="00114D80"/>
    <w:rsid w:val="001156D3"/>
    <w:rsid w:val="00124F40"/>
    <w:rsid w:val="001326B8"/>
    <w:rsid w:val="00151C8E"/>
    <w:rsid w:val="001665A6"/>
    <w:rsid w:val="001B29A6"/>
    <w:rsid w:val="001C4B1F"/>
    <w:rsid w:val="001E1FA7"/>
    <w:rsid w:val="001E282A"/>
    <w:rsid w:val="001E6D3A"/>
    <w:rsid w:val="00227D72"/>
    <w:rsid w:val="00246D5A"/>
    <w:rsid w:val="002779AB"/>
    <w:rsid w:val="00285EB8"/>
    <w:rsid w:val="002F53B8"/>
    <w:rsid w:val="002F75B2"/>
    <w:rsid w:val="003067D8"/>
    <w:rsid w:val="0033350F"/>
    <w:rsid w:val="00365915"/>
    <w:rsid w:val="00372AC0"/>
    <w:rsid w:val="00374196"/>
    <w:rsid w:val="00384A16"/>
    <w:rsid w:val="00387466"/>
    <w:rsid w:val="003919B9"/>
    <w:rsid w:val="00395AB5"/>
    <w:rsid w:val="003D797A"/>
    <w:rsid w:val="003E3705"/>
    <w:rsid w:val="004103E3"/>
    <w:rsid w:val="00411C9F"/>
    <w:rsid w:val="00442153"/>
    <w:rsid w:val="004448D2"/>
    <w:rsid w:val="0047464B"/>
    <w:rsid w:val="004754CC"/>
    <w:rsid w:val="00483F63"/>
    <w:rsid w:val="0049233D"/>
    <w:rsid w:val="00495788"/>
    <w:rsid w:val="004B6F57"/>
    <w:rsid w:val="004C0541"/>
    <w:rsid w:val="004D1E9E"/>
    <w:rsid w:val="004E47E0"/>
    <w:rsid w:val="005007DF"/>
    <w:rsid w:val="00527B1E"/>
    <w:rsid w:val="0054380F"/>
    <w:rsid w:val="00584D18"/>
    <w:rsid w:val="00592B46"/>
    <w:rsid w:val="005B1B49"/>
    <w:rsid w:val="005C0352"/>
    <w:rsid w:val="005D60EE"/>
    <w:rsid w:val="005E7EB2"/>
    <w:rsid w:val="005F24E3"/>
    <w:rsid w:val="006227DA"/>
    <w:rsid w:val="00661641"/>
    <w:rsid w:val="00665C7D"/>
    <w:rsid w:val="006A5423"/>
    <w:rsid w:val="006C4645"/>
    <w:rsid w:val="006D30A0"/>
    <w:rsid w:val="006E5C06"/>
    <w:rsid w:val="00703360"/>
    <w:rsid w:val="00716F33"/>
    <w:rsid w:val="00725B00"/>
    <w:rsid w:val="007267E3"/>
    <w:rsid w:val="00731020"/>
    <w:rsid w:val="007B0CAA"/>
    <w:rsid w:val="00811948"/>
    <w:rsid w:val="00840AA5"/>
    <w:rsid w:val="00845C0A"/>
    <w:rsid w:val="00847091"/>
    <w:rsid w:val="008531DD"/>
    <w:rsid w:val="008C0AAE"/>
    <w:rsid w:val="008C3807"/>
    <w:rsid w:val="008C59CA"/>
    <w:rsid w:val="00923720"/>
    <w:rsid w:val="009249ED"/>
    <w:rsid w:val="00935B8D"/>
    <w:rsid w:val="00936C4F"/>
    <w:rsid w:val="00943B2C"/>
    <w:rsid w:val="00957A44"/>
    <w:rsid w:val="00964ADD"/>
    <w:rsid w:val="00983745"/>
    <w:rsid w:val="0098564E"/>
    <w:rsid w:val="00986756"/>
    <w:rsid w:val="009C0788"/>
    <w:rsid w:val="009C43FC"/>
    <w:rsid w:val="009D2A77"/>
    <w:rsid w:val="009E32A0"/>
    <w:rsid w:val="009E5A33"/>
    <w:rsid w:val="00A10CC5"/>
    <w:rsid w:val="00A131A9"/>
    <w:rsid w:val="00A32015"/>
    <w:rsid w:val="00A325E4"/>
    <w:rsid w:val="00A353C1"/>
    <w:rsid w:val="00A5624A"/>
    <w:rsid w:val="00A71276"/>
    <w:rsid w:val="00A722D2"/>
    <w:rsid w:val="00A8202C"/>
    <w:rsid w:val="00A9042D"/>
    <w:rsid w:val="00A92E20"/>
    <w:rsid w:val="00A93798"/>
    <w:rsid w:val="00AA5F6F"/>
    <w:rsid w:val="00AB465E"/>
    <w:rsid w:val="00AD470F"/>
    <w:rsid w:val="00AE1D8A"/>
    <w:rsid w:val="00AE77FB"/>
    <w:rsid w:val="00AF3525"/>
    <w:rsid w:val="00AF587E"/>
    <w:rsid w:val="00B0608A"/>
    <w:rsid w:val="00B36BAD"/>
    <w:rsid w:val="00B43297"/>
    <w:rsid w:val="00B54145"/>
    <w:rsid w:val="00B71553"/>
    <w:rsid w:val="00B730FE"/>
    <w:rsid w:val="00B757BD"/>
    <w:rsid w:val="00BC46E1"/>
    <w:rsid w:val="00BD1648"/>
    <w:rsid w:val="00C22BAE"/>
    <w:rsid w:val="00C3756F"/>
    <w:rsid w:val="00C5040D"/>
    <w:rsid w:val="00C60A7B"/>
    <w:rsid w:val="00C64E26"/>
    <w:rsid w:val="00CF2C8E"/>
    <w:rsid w:val="00CF7230"/>
    <w:rsid w:val="00D06FA3"/>
    <w:rsid w:val="00D44150"/>
    <w:rsid w:val="00D502C0"/>
    <w:rsid w:val="00D5508C"/>
    <w:rsid w:val="00D601C3"/>
    <w:rsid w:val="00D83E55"/>
    <w:rsid w:val="00D91EAB"/>
    <w:rsid w:val="00D9787E"/>
    <w:rsid w:val="00DA5EFF"/>
    <w:rsid w:val="00DB58D5"/>
    <w:rsid w:val="00DC7647"/>
    <w:rsid w:val="00DD22C0"/>
    <w:rsid w:val="00E01F44"/>
    <w:rsid w:val="00E20478"/>
    <w:rsid w:val="00E32DB8"/>
    <w:rsid w:val="00E37B1D"/>
    <w:rsid w:val="00E50847"/>
    <w:rsid w:val="00E67B03"/>
    <w:rsid w:val="00E76C33"/>
    <w:rsid w:val="00E94DCD"/>
    <w:rsid w:val="00EA7E28"/>
    <w:rsid w:val="00EC096E"/>
    <w:rsid w:val="00ED119D"/>
    <w:rsid w:val="00ED1987"/>
    <w:rsid w:val="00ED2F07"/>
    <w:rsid w:val="00EE0CB5"/>
    <w:rsid w:val="00EE28D7"/>
    <w:rsid w:val="00EF5079"/>
    <w:rsid w:val="00F03E27"/>
    <w:rsid w:val="00F07475"/>
    <w:rsid w:val="00F108E3"/>
    <w:rsid w:val="00F22AED"/>
    <w:rsid w:val="00F40AFE"/>
    <w:rsid w:val="00F5617D"/>
    <w:rsid w:val="00F76CF5"/>
    <w:rsid w:val="00F80C44"/>
    <w:rsid w:val="00FA2046"/>
    <w:rsid w:val="00FA463A"/>
    <w:rsid w:val="00FB08E7"/>
    <w:rsid w:val="00FE1331"/>
    <w:rsid w:val="00FE7FCB"/>
    <w:rsid w:val="00FF1FC1"/>
    <w:rsid w:val="0C94BD62"/>
    <w:rsid w:val="1159BC77"/>
    <w:rsid w:val="2585A193"/>
    <w:rsid w:val="504680AE"/>
    <w:rsid w:val="534C778E"/>
    <w:rsid w:val="5B2D6B62"/>
    <w:rsid w:val="5B3BC13E"/>
    <w:rsid w:val="79B486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55EF5"/>
  <w15:chartTrackingRefBased/>
  <w15:docId w15:val="{15780F23-4D55-45A1-B593-462FCDC1A9E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cs="Times New Roman" w:asciiTheme="minorHAnsi" w:hAnsiTheme="minorHAnsi" w:eastAsiaTheme="minorEastAsia"/>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uiPriority="19" w:semiHidden="1" w:unhideWhenUsed="1" w:qFormat="1"/>
    <w:lsdException w:name="heading 5" w:uiPriority="19" w:semiHidden="1" w:unhideWhenUsed="1" w:qFormat="1"/>
    <w:lsdException w:name="heading 6" w:uiPriority="19" w:semiHidden="1" w:unhideWhenUsed="1" w:qFormat="1"/>
    <w:lsdException w:name="heading 7" w:uiPriority="19" w:semiHidden="1" w:unhideWhenUsed="1" w:qFormat="1"/>
    <w:lsdException w:name="heading 8" w:uiPriority="19" w:semiHidden="1" w:unhideWhenUsed="1" w:qFormat="1"/>
    <w:lsdException w:name="heading 9" w:uiPriority="19"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semiHidden="1" w:unhideWhenUsed="1"/>
    <w:lsdException w:name="toc 4" w:uiPriority="31" w:semiHidden="1" w:unhideWhenUsed="1"/>
    <w:lsdException w:name="toc 5" w:uiPriority="31" w:semiHidden="1" w:unhideWhenUsed="1"/>
    <w:lsdException w:name="toc 6" w:uiPriority="31" w:semiHidden="1" w:unhideWhenUsed="1"/>
    <w:lsdException w:name="toc 7" w:uiPriority="31" w:semiHidden="1" w:unhideWhenUsed="1"/>
    <w:lsdException w:name="toc 8" w:uiPriority="31" w:semiHidden="1" w:unhideWhenUsed="1"/>
    <w:lsdException w:name="toc 9" w:uiPriority="31" w:semiHidden="1" w:unhideWhenUsed="1"/>
    <w:lsdException w:name="Normal Indent" w:uiPriority="0" w:semiHidden="1" w:unhideWhenUsed="1"/>
    <w:lsdException w:name="footnote text" w:uiPriority="39" w:semiHidden="1" w:unhideWhenUsed="1"/>
    <w:lsdException w:name="annotation text" w:semiHidden="1" w:unhideWhenUsed="1"/>
    <w:lsdException w:name="header" w:uiPriority="39" w:semiHidden="1" w:unhideWhenUsed="1"/>
    <w:lsdException w:name="footer" w:uiPriority="10" w:semiHidden="1" w:unhideWhenUsed="1"/>
    <w:lsdException w:name="index heading" w:uiPriority="0" w:semiHidden="1" w:unhideWhenUsed="1"/>
    <w:lsdException w:name="caption" w:uiPriority="34"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39" w:semiHidden="1" w:unhideWhenUsed="1"/>
    <w:lsdException w:name="annotation reference" w:semiHidden="1" w:unhideWhenUsed="1"/>
    <w:lsdException w:name="line number" w:semiHidden="1" w:unhideWhenUsed="1"/>
    <w:lsdException w:name="page number" w:uiPriority="15" w:semiHidden="1" w:unhideWhenUsed="1"/>
    <w:lsdException w:name="endnote reference" w:uiPriority="39" w:semiHidden="1" w:unhideWhenUsed="1"/>
    <w:lsdException w:name="endnote text" w:uiPriority="3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semiHidden="1" w:unhideWhenUsed="1" w:qFormat="1"/>
    <w:lsdException w:name="Closing" w:uiPriority="0"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semiHidden="1" w:unhideWhenUsed="1"/>
    <w:lsdException w:name="Subtitle" w:uiPriority="0"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49"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FollowedHyperlink" w:uiPriority="36" w:semiHidden="1" w:unhideWhenUsed="1"/>
    <w:lsdException w:name="Strong" w:uiPriority="49" w:semiHidden="1" w:unhideWhenUsed="1" w:qFormat="1"/>
    <w:lsdException w:name="Emphasis" w:uiPriority="12"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uiPriority="0" w:semiHidden="1" w:unhideWhenUsed="1"/>
    <w:lsdException w:name="HTML Address" w:uiPriority="0" w:semiHidden="1" w:unhideWhenUsed="1"/>
    <w:lsdException w:name="HTML Cite" w:uiPriority="0" w:semiHidden="1" w:unhideWhenUsed="1"/>
    <w:lsdException w:name="HTML Code" w:uiPriority="0" w:semiHidden="1" w:unhideWhenUsed="1"/>
    <w:lsdException w:name="HTML Definition" w:uiPriority="0" w:semiHidden="1" w:unhideWhenUsed="1"/>
    <w:lsdException w:name="HTML Keyboard" w:uiPriority="0" w:semiHidden="1" w:unhideWhenUsed="1"/>
    <w:lsdException w:name="HTML Preformatted" w:uiPriority="0" w:semiHidden="1" w:unhideWhenUsed="1"/>
    <w:lsdException w:name="HTML Sample" w:uiPriority="0" w:semiHidden="1" w:unhideWhenUsed="1"/>
    <w:lsdException w:name="HTML Typewriter" w:uiPriority="0" w:semiHidden="1" w:unhideWhenUsed="1"/>
    <w:lsdException w:name="HTML Variable" w:uiPriority="0" w:semiHidden="1" w:unhideWhenUsed="1"/>
    <w:lsdException w:name="Normal Table" w:semiHidden="1" w:unhideWhenUsed="1"/>
    <w:lsdException w:name="annotation subject" w:semiHidden="1" w:unhideWhenUsed="1"/>
    <w:lsdException w:name="No List" w:semiHidden="1" w:unhideWhenUsed="1"/>
    <w:lsdException w:name="Outline List 1" w:uiPriority="0"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uiPriority="0" w:semiHidden="1" w:unhideWhenUsed="1"/>
    <w:lsdException w:name="Table Classic 2" w:uiPriority="0" w:semiHidden="1" w:unhideWhenUsed="1"/>
    <w:lsdException w:name="Table Classic 3" w:uiPriority="0" w:semiHidden="1" w:unhideWhenUsed="1"/>
    <w:lsdException w:name="Table Classic 4" w:uiPriority="0" w:semiHidden="1" w:unhideWhenUsed="1"/>
    <w:lsdException w:name="Table Colorful 1" w:uiPriority="0" w:semiHidden="1" w:unhideWhenUsed="1"/>
    <w:lsdException w:name="Table Colorful 2" w:uiPriority="0" w:semiHidden="1" w:unhideWhenUsed="1"/>
    <w:lsdException w:name="Table Colorful 3" w:uiPriority="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uiPriority="0" w:semiHidden="1" w:unhideWhenUsed="1"/>
    <w:lsdException w:name="Table 3D effects 2" w:uiPriority="0" w:semiHidden="1" w:unhideWhenUsed="1"/>
    <w:lsdException w:name="Table 3D effects 3" w:uiPriority="0" w:semiHidden="1" w:unhideWhenUsed="1"/>
    <w:lsdException w:name="Table Contemporary" w:uiPriority="0" w:semiHidden="1" w:unhideWhenUsed="1"/>
    <w:lsdException w:name="Table Elegant" w:uiPriority="0"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9" w:semiHidden="1"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uiPriority="31" w:semiHidden="1" w:unhideWhenUsed="1" w:qFormat="1"/>
    <w:lsdException w:name="Intense Reference" w:semiHidden="1" w:unhideWhenUsed="1" w:qFormat="1"/>
    <w:lsdException w:name="Book Title" w:semiHidden="1" w:unhideWhenUsed="1" w:qFormat="1"/>
    <w:lsdException w:name="Bibliography" w:uiPriority="33"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cs="Arial" w:asciiTheme="majorHAnsi" w:hAnsiTheme="majorHAnsi"/>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cs="Arial" w:asciiTheme="majorHAnsi" w:hAnsiTheme="majorHAnsi"/>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cs="Arial" w:asciiTheme="majorHAnsi" w:hAnsiTheme="majorHAnsi"/>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14"/>
    <w:unhideWhenUsed/>
    <w:rsid w:val="00DB58D5"/>
  </w:style>
  <w:style w:type="character" w:styleId="HeaderChar" w:customStyle="1">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styleId="FooterChar" w:customStyle="1">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styleId="BasisTabelle" w:customStyle="1">
    <w:name w:val="Basis Tabelle"/>
    <w:basedOn w:val="TableNormal"/>
    <w:rsid w:val="000B2869"/>
    <w:rPr>
      <w:lang w:eastAsia="de-CH"/>
    </w:rPr>
    <w:tblPr>
      <w:tblStyleRowBandSize w:val="1"/>
      <w:tblBorders>
        <w:bottom w:val="single" w:color="808080" w:sz="2" w:space="0"/>
        <w:insideH w:val="single" w:color="808080" w:sz="2" w:space="0"/>
      </w:tblBorders>
      <w:tblCellMar>
        <w:top w:w="57" w:type="dxa"/>
        <w:left w:w="57" w:type="dxa"/>
        <w:bottom w:w="57" w:type="dxa"/>
        <w:right w:w="57" w:type="dxa"/>
      </w:tblCellMar>
    </w:tblPr>
    <w:tblStylePr w:type="firstRow">
      <w:rPr>
        <w:rFonts w:asciiTheme="majorHAnsi" w:hAnsiTheme="majorHAnsi"/>
        <w:b w:val="0"/>
      </w:rPr>
      <w:tblPr/>
      <w:tcPr>
        <w:tcBorders>
          <w:bottom w:val="single" w:color="808080" w:sz="4" w:space="0"/>
        </w:tcBorders>
      </w:tcPr>
    </w:tblStylePr>
    <w:tblStylePr w:type="band1Horz">
      <w:tblPr/>
      <w:tcPr>
        <w:tcBorders>
          <w:bottom w:val="single" w:color="808080" w:sz="4" w:space="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hAnchor="text" w:v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styleId="BulletpointsEbene1" w:customStyl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styleId="BulletpointsEbene2" w:customStyle="1">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styleId="DocumentMapChar" w:customStyle="1">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styleId="ClosingChar" w:customStyle="1">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styleId="HTMLAddressChar" w:customStyle="1">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styleId="HTMLPreformattedChar" w:customStyle="1">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color="auto" w:sz="6" w:space="1"/>
        <w:left w:val="single" w:color="auto" w:sz="6" w:space="1"/>
        <w:bottom w:val="single" w:color="auto" w:sz="6" w:space="1"/>
        <w:right w:val="single" w:color="auto" w:sz="6" w:space="1"/>
      </w:pBdr>
      <w:shd w:val="pct20" w:color="auto" w:fill="auto"/>
      <w:ind w:left="1134" w:hanging="1134"/>
    </w:pPr>
    <w:rPr>
      <w:sz w:val="24"/>
    </w:rPr>
  </w:style>
  <w:style w:type="character" w:styleId="MessageHeaderChar" w:customStyle="1">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Colorful1">
    <w:name w:val="Table Colorful 1"/>
    <w:basedOn w:val="TableNormal"/>
    <w:semiHidden/>
    <w:rsid w:val="00E94DCD"/>
    <w:rPr>
      <w:rFonts w:ascii="Arial" w:hAnsi="Arial"/>
      <w:color w:val="FFFFFF"/>
      <w:lang w:eastAsia="de-CH"/>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semiHidden/>
    <w:rsid w:val="00E94DCD"/>
    <w:rPr>
      <w:rFonts w:ascii="Arial" w:hAnsi="Arial"/>
      <w:lang w:eastAsia="de-CH"/>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semiHidden/>
    <w:rsid w:val="00E94DCD"/>
    <w:rPr>
      <w:rFonts w:ascii="Arial" w:hAnsi="Arial"/>
      <w:lang w:eastAsia="de-CH"/>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rsid w:val="00E94DCD"/>
    <w:rPr>
      <w:rFonts w:ascii="Arial" w:hAnsi="Arial"/>
      <w:lang w:eastAsia="de-CH"/>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semiHidden/>
    <w:rsid w:val="00E94DCD"/>
    <w:rPr>
      <w:rFonts w:ascii="Arial" w:hAnsi="Arial"/>
      <w:color w:val="000080"/>
      <w:lang w:eastAsia="de-CH"/>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semiHidden/>
    <w:rsid w:val="00E94DCD"/>
    <w:rPr>
      <w:rFonts w:ascii="Arial" w:hAnsi="Arial"/>
      <w:lang w:eastAsia="de-CH"/>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Grid">
    <w:name w:val="Table Grid"/>
    <w:basedOn w:val="TableNormal"/>
    <w:uiPriority w:val="59"/>
    <w:rsid w:val="00DB58D5"/>
    <w:rPr>
      <w:lang w:eastAsia="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styleId="TitleChar" w:customStyle="1">
    <w:name w:val="Title Char"/>
    <w:link w:val="Title"/>
    <w:uiPriority w:val="1"/>
    <w:semiHidden/>
    <w:rsid w:val="001E1FA7"/>
    <w:rPr>
      <w:rFonts w:ascii="Arial Fett" w:hAnsi="Arial Fett" w:cs="Times New Roman"/>
      <w:b/>
      <w:bCs/>
      <w:smallCaps/>
      <w:sz w:val="32"/>
      <w:szCs w:val="32"/>
    </w:rPr>
  </w:style>
  <w:style w:type="character" w:styleId="Heading1Char" w:customStyle="1">
    <w:name w:val="Heading 1 Char"/>
    <w:link w:val="Heading1"/>
    <w:uiPriority w:val="19"/>
    <w:rsid w:val="002779AB"/>
    <w:rPr>
      <w:rFonts w:cs="Arial" w:asciiTheme="majorHAnsi" w:hAnsiTheme="majorHAnsi"/>
      <w:bCs/>
      <w:sz w:val="28"/>
      <w:szCs w:val="28"/>
      <w:lang w:eastAsia="de-DE"/>
    </w:rPr>
  </w:style>
  <w:style w:type="character" w:styleId="Heading2Char" w:customStyle="1">
    <w:name w:val="Heading 2 Char"/>
    <w:link w:val="Heading2"/>
    <w:uiPriority w:val="19"/>
    <w:rsid w:val="002779AB"/>
    <w:rPr>
      <w:rFonts w:cs="Arial" w:asciiTheme="majorHAnsi" w:hAnsiTheme="majorHAnsi"/>
      <w:bCs/>
      <w:sz w:val="24"/>
      <w:szCs w:val="24"/>
      <w:lang w:eastAsia="de-DE"/>
    </w:rPr>
  </w:style>
  <w:style w:type="character" w:styleId="Heading3Char" w:customStyle="1">
    <w:name w:val="Heading 3 Char"/>
    <w:link w:val="Heading3"/>
    <w:uiPriority w:val="19"/>
    <w:rsid w:val="002779AB"/>
    <w:rPr>
      <w:rFonts w:cs="Arial" w:asciiTheme="majorHAnsi" w:hAnsiTheme="majorHAnsi"/>
      <w:szCs w:val="18"/>
      <w:lang w:eastAsia="de-DE"/>
    </w:rPr>
  </w:style>
  <w:style w:type="character" w:styleId="Heading4Char" w:customStyle="1">
    <w:name w:val="Heading 4 Char"/>
    <w:link w:val="Heading4"/>
    <w:uiPriority w:val="19"/>
    <w:rsid w:val="009E5A33"/>
    <w:rPr>
      <w:rFonts w:cs="Arial"/>
      <w:szCs w:val="18"/>
      <w:lang w:eastAsia="de-DE"/>
    </w:rPr>
  </w:style>
  <w:style w:type="character" w:styleId="Heading5Char" w:customStyle="1">
    <w:name w:val="Heading 5 Char"/>
    <w:link w:val="Heading5"/>
    <w:uiPriority w:val="19"/>
    <w:rsid w:val="000B2869"/>
    <w:rPr>
      <w:rFonts w:cs="Arial"/>
      <w:szCs w:val="18"/>
      <w:lang w:eastAsia="de-DE"/>
    </w:rPr>
  </w:style>
  <w:style w:type="character" w:styleId="Heading6Char" w:customStyle="1">
    <w:name w:val="Heading 6 Char"/>
    <w:link w:val="Heading6"/>
    <w:uiPriority w:val="19"/>
    <w:semiHidden/>
    <w:rsid w:val="001E1FA7"/>
    <w:rPr>
      <w:bCs/>
      <w:sz w:val="18"/>
      <w:lang w:eastAsia="de-DE"/>
    </w:rPr>
  </w:style>
  <w:style w:type="character" w:styleId="Heading7Char" w:customStyle="1">
    <w:name w:val="Heading 7 Char"/>
    <w:link w:val="Heading7"/>
    <w:uiPriority w:val="19"/>
    <w:semiHidden/>
    <w:rsid w:val="001E1FA7"/>
    <w:rPr>
      <w:sz w:val="18"/>
      <w:szCs w:val="24"/>
      <w:lang w:eastAsia="de-DE"/>
    </w:rPr>
  </w:style>
  <w:style w:type="character" w:styleId="Heading8Char" w:customStyle="1">
    <w:name w:val="Heading 8 Char"/>
    <w:link w:val="Heading8"/>
    <w:uiPriority w:val="19"/>
    <w:semiHidden/>
    <w:rsid w:val="001E1FA7"/>
    <w:rPr>
      <w:iCs/>
      <w:sz w:val="18"/>
      <w:szCs w:val="24"/>
      <w:lang w:eastAsia="de-DE"/>
    </w:rPr>
  </w:style>
  <w:style w:type="character" w:styleId="Heading9Char" w:customStyle="1">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styleId="SubtitleChar" w:customStyle="1">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styleId="FusszeilePfad" w:customStyle="1">
    <w:name w:val="Fusszeile Pfad"/>
    <w:basedOn w:val="Footer"/>
    <w:uiPriority w:val="9"/>
    <w:rsid w:val="00DB58D5"/>
    <w:pPr>
      <w:jc w:val="center"/>
    </w:pPr>
  </w:style>
  <w:style w:type="paragraph" w:styleId="BulletpointsLevel1" w:customStyle="1">
    <w:name w:val="Bulletpoints Level 1"/>
    <w:basedOn w:val="Normal"/>
    <w:uiPriority w:val="3"/>
    <w:qFormat/>
    <w:rsid w:val="00E37B1D"/>
    <w:pPr>
      <w:numPr>
        <w:numId w:val="5"/>
      </w:numPr>
      <w:tabs>
        <w:tab w:val="right" w:pos="454"/>
      </w:tabs>
      <w:spacing w:before="60"/>
    </w:pPr>
  </w:style>
  <w:style w:type="paragraph" w:styleId="BulletpointsLevel2" w:customStyle="1">
    <w:name w:val="Bulletpoints Level 2"/>
    <w:basedOn w:val="Normal"/>
    <w:uiPriority w:val="4"/>
    <w:qFormat/>
    <w:rsid w:val="00DB58D5"/>
    <w:pPr>
      <w:numPr>
        <w:ilvl w:val="1"/>
        <w:numId w:val="5"/>
      </w:numPr>
    </w:pPr>
  </w:style>
  <w:style w:type="paragraph" w:styleId="Lettering" w:customStyle="1">
    <w:name w:val="Lettering"/>
    <w:basedOn w:val="Normal"/>
    <w:uiPriority w:val="5"/>
    <w:qFormat/>
    <w:rsid w:val="00DB58D5"/>
    <w:pPr>
      <w:numPr>
        <w:numId w:val="11"/>
      </w:numPr>
      <w:spacing w:before="60"/>
    </w:pPr>
  </w:style>
  <w:style w:type="paragraph" w:styleId="noBulletpoint" w:customStyle="1">
    <w:name w:val="noBulletpoint"/>
    <w:basedOn w:val="Normal"/>
    <w:uiPriority w:val="4"/>
    <w:qFormat/>
    <w:rsid w:val="00DB58D5"/>
    <w:pPr>
      <w:numPr>
        <w:ilvl w:val="2"/>
        <w:numId w:val="5"/>
      </w:numPr>
      <w:spacing w:before="60"/>
    </w:pPr>
  </w:style>
  <w:style w:type="paragraph" w:styleId="Numbering" w:customStyle="1">
    <w:name w:val="Numbering"/>
    <w:basedOn w:val="Normal"/>
    <w:uiPriority w:val="6"/>
    <w:qFormat/>
    <w:rsid w:val="00DB58D5"/>
    <w:pPr>
      <w:numPr>
        <w:numId w:val="10"/>
      </w:numPr>
      <w:spacing w:before="60"/>
    </w:pPr>
  </w:style>
  <w:style w:type="paragraph" w:styleId="SensirionSubtitle" w:customStyle="1">
    <w:name w:val="Sensirion Subtitle"/>
    <w:basedOn w:val="Normal"/>
    <w:uiPriority w:val="2"/>
    <w:qFormat/>
    <w:rsid w:val="002779AB"/>
    <w:pPr>
      <w:spacing w:line="260" w:lineRule="exact"/>
      <w:contextualSpacing/>
    </w:pPr>
    <w:rPr>
      <w:rFonts w:asciiTheme="majorHAnsi" w:hAnsiTheme="majorHAnsi"/>
      <w:lang w:eastAsia="de-DE"/>
    </w:rPr>
  </w:style>
  <w:style w:type="paragraph" w:styleId="SensirionTitle" w:customStyle="1">
    <w:name w:val="Sensirion Title"/>
    <w:basedOn w:val="Normal"/>
    <w:uiPriority w:val="1"/>
    <w:qFormat/>
    <w:rsid w:val="002779AB"/>
    <w:pPr>
      <w:spacing w:line="320" w:lineRule="exact"/>
      <w:contextualSpacing/>
    </w:pPr>
    <w:rPr>
      <w:rFonts w:asciiTheme="majorHAnsi" w:hAnsiTheme="majorHAnsi"/>
      <w:sz w:val="28"/>
    </w:rPr>
  </w:style>
  <w:style w:type="paragraph" w:styleId="Marginale" w:customStyle="1">
    <w:name w:val="Marginale"/>
    <w:basedOn w:val="Normal"/>
    <w:uiPriority w:val="7"/>
    <w:qFormat/>
    <w:rsid w:val="001665A6"/>
    <w:pPr>
      <w:framePr w:w="2268" w:hSpace="567" w:wrap="around" w:hAnchor="text" w:vAnchor="text" w:xAlign="right" w:y="1"/>
    </w:pPr>
    <w:rPr>
      <w:color w:val="66CC33" w:themeColor="accent1"/>
    </w:rPr>
  </w:style>
  <w:style w:type="paragraph" w:styleId="MarginaleText" w:customStyle="1">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styleId="QuoteChar" w:customStyle="1">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styleId="EndnoteTextChar" w:customStyle="1">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styleId="FootnoteTextChar" w:customStyle="1">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color="C8BBBB" w:sz="8" w:space="0"/>
        <w:bottom w:val="single" w:color="C8BBBB" w:sz="8" w:space="0"/>
      </w:tblBorders>
      <w:tblCellMar>
        <w:top w:w="28" w:type="dxa"/>
        <w:left w:w="0" w:type="dxa"/>
        <w:bottom w:w="28" w:type="dxa"/>
        <w:right w:w="0" w:type="dxa"/>
      </w:tblCellMar>
    </w:tblPr>
    <w:tblStylePr w:type="firstRow">
      <w:pPr>
        <w:spacing w:before="0" w:after="0" w:line="240" w:lineRule="auto"/>
      </w:pPr>
      <w:rPr>
        <w:b/>
        <w:bCs/>
      </w:rPr>
      <w:tblPr/>
      <w:tcPr>
        <w:tcBorders>
          <w:top w:val="single" w:color="C8BBBB" w:sz="8" w:space="0"/>
          <w:left w:val="nil"/>
          <w:bottom w:val="single" w:color="C8BBBB" w:sz="8" w:space="0"/>
          <w:right w:val="nil"/>
          <w:insideH w:val="nil"/>
          <w:insideV w:val="nil"/>
        </w:tcBorders>
      </w:tcPr>
    </w:tblStylePr>
    <w:tblStylePr w:type="lastRow">
      <w:pPr>
        <w:spacing w:before="0" w:after="0" w:line="240" w:lineRule="auto"/>
      </w:pPr>
      <w:rPr>
        <w:b w:val="0"/>
        <w:bCs/>
      </w:rPr>
      <w:tblPr/>
      <w:tcPr>
        <w:tcBorders>
          <w:top w:val="nil"/>
          <w:left w:val="nil"/>
          <w:bottom w:val="single" w:color="C8BBBB" w:sz="8" w:space="0"/>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color="EBE6E6" w:sz="8" w:space="0"/>
        <w:bottom w:val="single" w:color="EBE6E6" w:sz="8" w:space="0"/>
      </w:tblBorders>
    </w:tblPr>
    <w:tblStylePr w:type="firstRow">
      <w:rPr>
        <w:rFonts w:ascii="Arial Narrow" w:hAnsi="Arial Narrow" w:eastAsia="Times New Roman" w:cs="Times New Roman"/>
      </w:rPr>
      <w:tblPr/>
      <w:tcPr>
        <w:tcBorders>
          <w:top w:val="nil"/>
          <w:bottom w:val="single" w:color="EBE6E6" w:sz="8" w:space="0"/>
        </w:tcBorders>
      </w:tcPr>
    </w:tblStylePr>
    <w:tblStylePr w:type="lastRow">
      <w:rPr>
        <w:b/>
        <w:bCs/>
        <w:color w:val="000000"/>
      </w:rPr>
      <w:tblPr/>
      <w:tcPr>
        <w:tcBorders>
          <w:top w:val="single" w:color="EBE6E6" w:sz="8" w:space="0"/>
          <w:bottom w:val="single" w:color="EBE6E6" w:sz="8" w:space="0"/>
        </w:tcBorders>
      </w:tcPr>
    </w:tblStylePr>
    <w:tblStylePr w:type="firstCol">
      <w:rPr>
        <w:b/>
        <w:bCs/>
      </w:rPr>
    </w:tblStylePr>
    <w:tblStylePr w:type="lastCol">
      <w:rPr>
        <w:b/>
        <w:bCs/>
      </w:rPr>
      <w:tblPr/>
      <w:tcPr>
        <w:tcBorders>
          <w:top w:val="single" w:color="EBE6E6" w:sz="8" w:space="0"/>
          <w:bottom w:val="single" w:color="EBE6E6" w:sz="8" w:space="0"/>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styleId="SensirionListealt" w:customStyle="1">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styleId="BalloonTextChar" w:customStyle="1">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styleId="SensirionListBulletPoints" w:customStyle="1">
    <w:name w:val="Sensirion List Bullet Points"/>
    <w:uiPriority w:val="99"/>
    <w:rsid w:val="00C3756F"/>
    <w:pPr>
      <w:numPr>
        <w:numId w:val="5"/>
      </w:numPr>
    </w:pPr>
  </w:style>
  <w:style w:type="numbering" w:styleId="SensirionList123Heading" w:customStyle="1">
    <w:name w:val="Sensirion List 123 Heading"/>
    <w:uiPriority w:val="99"/>
    <w:rsid w:val="00A93798"/>
    <w:pPr>
      <w:numPr>
        <w:numId w:val="7"/>
      </w:numPr>
    </w:pPr>
  </w:style>
  <w:style w:type="numbering" w:styleId="SensirionList123Numbering" w:customStyle="1">
    <w:name w:val="Sensirion List 123 Numbering"/>
    <w:uiPriority w:val="99"/>
    <w:rsid w:val="000903CE"/>
    <w:pPr>
      <w:numPr>
        <w:numId w:val="10"/>
      </w:numPr>
    </w:pPr>
  </w:style>
  <w:style w:type="numbering" w:styleId="SensirionListabcLettering" w:customStyle="1">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sensirion.com/"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sensirion.com/products/catalog/STC42A" TargetMode="External" Id="R48d5555ea09b4332" /></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eresola\Sensirion\Marketing%20and%20Communications%20-%20Documents\Collab\Press_Releases\01_Templates\Sensirion_Boilerplate_EN.dotx" TargetMode="External"/></Relationships>
</file>

<file path=word/theme/theme1.xml><?xml version="1.0" encoding="utf-8"?>
<a:theme xmlns:a="http://schemas.openxmlformats.org/drawingml/2006/main" xmlns:thm15="http://schemas.microsoft.com/office/thememl/2012/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Props1.xml><?xml version="1.0" encoding="utf-8"?>
<ds:datastoreItem xmlns:ds="http://schemas.openxmlformats.org/officeDocument/2006/customXml" ds:itemID="{9704034F-5B5D-4739-8969-F7A25D90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Sensirion_Boilerplate_EN</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Word Template</dc:title>
  <dc:subject/>
  <dc:creator>Kim Ceresola</dc:creator>
  <keywords/>
  <dc:description/>
  <lastModifiedBy>Janine Hefti</lastModifiedBy>
  <revision>5</revision>
  <lastPrinted>2023-10-09T08:18:00.0000000Z</lastPrinted>
  <dcterms:created xsi:type="dcterms:W3CDTF">2026-06-02T09:56:00.0000000Z</dcterms:created>
  <dcterms:modified xsi:type="dcterms:W3CDTF">2026-06-04T09:11:11.8824772Z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2026-01-14T10:23:02Z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0d05af7b-40fd-4793-84f6-8774343fcf47</vt:lpwstr>
  </property>
  <property fmtid="{D5CDD505-2E9C-101B-9397-08002B2CF9AE}" pid="10" name="MSIP_Label_8b833d12-c387-4ee1-b3ed-d59690047b70_ContentBits">
    <vt:lpwstr>0</vt:lpwstr>
  </property>
  <property fmtid="{D5CDD505-2E9C-101B-9397-08002B2CF9AE}" pid="11" name="MSIP_Label_8b833d12-c387-4ee1-b3ed-d59690047b70_Tag">
    <vt:lpwstr>10, 3, 0, 2</vt:lpwstr>
  </property>
</Properties>
</file>