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A16B2B" w14:textId="77777777" w:rsidR="00C73B16" w:rsidRPr="00B641CC" w:rsidRDefault="00C73B16" w:rsidP="00C73B16">
      <w:pPr>
        <w:pStyle w:val="SensirionSubtitle"/>
      </w:pPr>
      <w:r w:rsidRPr="00B641CC">
        <w:t>Medienmitteilung</w:t>
      </w:r>
    </w:p>
    <w:p w14:paraId="7D994462" w14:textId="063A5162" w:rsidR="00C73B16" w:rsidRPr="005B1B49" w:rsidRDefault="00B641CC" w:rsidP="00C73B16">
      <w:pPr>
        <w:pStyle w:val="SensirionSubtitle"/>
        <w:pBdr>
          <w:bottom w:val="single" w:sz="4" w:space="1" w:color="auto"/>
        </w:pBdr>
      </w:pPr>
      <w:r>
        <w:t>21.11.2024</w:t>
      </w:r>
      <w:r w:rsidR="00C73B16">
        <w:t>, Sensirion AG, 8712 Stäfa, Schweiz</w:t>
      </w:r>
    </w:p>
    <w:p w14:paraId="3C5C708F" w14:textId="77777777" w:rsidR="00C73B16" w:rsidRDefault="00C73B16" w:rsidP="00876D65">
      <w:pPr>
        <w:jc w:val="both"/>
        <w:rPr>
          <w:b/>
          <w:bCs/>
          <w:sz w:val="28"/>
          <w:szCs w:val="28"/>
          <w:lang w:eastAsia="de-DE"/>
        </w:rPr>
      </w:pPr>
    </w:p>
    <w:p w14:paraId="7AE45E8A" w14:textId="482D7B80" w:rsidR="001D1624" w:rsidRPr="00E306C2" w:rsidRDefault="00E306C2" w:rsidP="00876D65">
      <w:pPr>
        <w:jc w:val="both"/>
      </w:pPr>
      <w:r>
        <w:rPr>
          <w:b/>
          <w:sz w:val="28"/>
        </w:rPr>
        <w:t xml:space="preserve">Sensirion </w:t>
      </w:r>
      <w:r w:rsidR="00223AFE">
        <w:rPr>
          <w:b/>
          <w:sz w:val="28"/>
        </w:rPr>
        <w:t xml:space="preserve">kündigt </w:t>
      </w:r>
      <w:r>
        <w:rPr>
          <w:b/>
          <w:sz w:val="28"/>
        </w:rPr>
        <w:t xml:space="preserve">weltweite Verfügbarkeit des SEK-SEN66-Evaluationskits </w:t>
      </w:r>
      <w:r w:rsidR="00223AFE">
        <w:rPr>
          <w:b/>
          <w:sz w:val="28"/>
        </w:rPr>
        <w:t>an</w:t>
      </w:r>
    </w:p>
    <w:p w14:paraId="4EFD78C8" w14:textId="77777777" w:rsidR="00002351" w:rsidRDefault="00002351" w:rsidP="00876D65">
      <w:pPr>
        <w:jc w:val="both"/>
        <w:rPr>
          <w:lang w:eastAsia="de-DE"/>
        </w:rPr>
      </w:pPr>
    </w:p>
    <w:p w14:paraId="77D32A49" w14:textId="5A7D0BB3" w:rsidR="00876D65" w:rsidRDefault="00223AFE" w:rsidP="00876D65">
      <w:pPr>
        <w:jc w:val="both"/>
        <w:rPr>
          <w:lang w:eastAsia="de-DE"/>
        </w:rPr>
      </w:pPr>
      <w:r w:rsidRPr="00223AFE">
        <w:rPr>
          <w:b/>
        </w:rPr>
        <w:t>Sensirion</w:t>
      </w:r>
      <w:r>
        <w:rPr>
          <w:b/>
        </w:rPr>
        <w:t xml:space="preserve"> </w:t>
      </w:r>
      <w:r w:rsidRPr="00223AFE">
        <w:rPr>
          <w:b/>
        </w:rPr>
        <w:t>gibt die Markteinführung des neuen SEK-SEN66-Evaluationskits bekannt. Das Kit ermöglicht eine schnelle und kostengünstige Evaluierung der All-in-</w:t>
      </w:r>
      <w:proofErr w:type="spellStart"/>
      <w:r w:rsidRPr="00223AFE">
        <w:rPr>
          <w:b/>
        </w:rPr>
        <w:t>One</w:t>
      </w:r>
      <w:proofErr w:type="spellEnd"/>
      <w:r w:rsidRPr="00223AFE">
        <w:rPr>
          <w:b/>
        </w:rPr>
        <w:t xml:space="preserve"> Luftqualitätssensor-Module SEN60, SEN65 und SEN66. Ab sofort ist es über das globale Netzwerk der autorisierten Vertriebspartner erhältlich.</w:t>
      </w:r>
    </w:p>
    <w:p w14:paraId="0ECE32E1" w14:textId="7E0B37AC" w:rsidR="00002351" w:rsidRDefault="00002351" w:rsidP="00876D65">
      <w:pPr>
        <w:jc w:val="both"/>
      </w:pPr>
    </w:p>
    <w:p w14:paraId="43216EE4" w14:textId="424D216C" w:rsidR="00002351" w:rsidRDefault="002B7775" w:rsidP="00876D65">
      <w:pPr>
        <w:jc w:val="both"/>
      </w:pPr>
      <w:r>
        <w:rPr>
          <w:noProof/>
        </w:rPr>
        <w:drawing>
          <wp:anchor distT="0" distB="0" distL="114300" distR="114300" simplePos="0" relativeHeight="251658240" behindDoc="0" locked="0" layoutInCell="1" allowOverlap="1" wp14:anchorId="1C0F8EF8" wp14:editId="647D4744">
            <wp:simplePos x="0" y="0"/>
            <wp:positionH relativeFrom="column">
              <wp:posOffset>-90805</wp:posOffset>
            </wp:positionH>
            <wp:positionV relativeFrom="paragraph">
              <wp:posOffset>104140</wp:posOffset>
            </wp:positionV>
            <wp:extent cx="2152650" cy="1503680"/>
            <wp:effectExtent l="0" t="0" r="0" b="0"/>
            <wp:wrapSquare wrapText="bothSides"/>
            <wp:docPr id="20285689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7377"/>
                    <a:stretch/>
                  </pic:blipFill>
                  <pic:spPr bwMode="auto">
                    <a:xfrm>
                      <a:off x="0" y="0"/>
                      <a:ext cx="2152650" cy="1503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9B011E" w:rsidRPr="00AE51C8">
        <w:rPr>
          <w:noProof/>
        </w:rPr>
        <mc:AlternateContent>
          <mc:Choice Requires="wps">
            <w:drawing>
              <wp:anchor distT="45720" distB="45720" distL="114300" distR="114300" simplePos="0" relativeHeight="251660289" behindDoc="0" locked="0" layoutInCell="1" allowOverlap="1" wp14:anchorId="1DF0E8D1" wp14:editId="1B80FADC">
                <wp:simplePos x="0" y="0"/>
                <wp:positionH relativeFrom="column">
                  <wp:posOffset>-90805</wp:posOffset>
                </wp:positionH>
                <wp:positionV relativeFrom="paragraph">
                  <wp:posOffset>1609090</wp:posOffset>
                </wp:positionV>
                <wp:extent cx="2152650" cy="1404620"/>
                <wp:effectExtent l="0" t="0" r="0" b="1270"/>
                <wp:wrapSquare wrapText="bothSides"/>
                <wp:docPr id="2147590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650" cy="1404620"/>
                        </a:xfrm>
                        <a:prstGeom prst="rect">
                          <a:avLst/>
                        </a:prstGeom>
                        <a:noFill/>
                        <a:ln w="9525">
                          <a:noFill/>
                          <a:miter lim="800000"/>
                          <a:headEnd/>
                          <a:tailEnd/>
                        </a:ln>
                      </wps:spPr>
                      <wps:txbx>
                        <w:txbxContent>
                          <w:p w14:paraId="2BE06ECA" w14:textId="404E7FD5" w:rsidR="00C8551E" w:rsidRPr="00AE51C8" w:rsidRDefault="00C8551E" w:rsidP="00C8551E">
                            <w:pPr>
                              <w:rPr>
                                <w:i/>
                                <w:iCs/>
                                <w:sz w:val="18"/>
                                <w:szCs w:val="18"/>
                              </w:rPr>
                            </w:pPr>
                            <w:r w:rsidRPr="00AE51C8">
                              <w:rPr>
                                <w:i/>
                                <w:iCs/>
                                <w:sz w:val="18"/>
                                <w:szCs w:val="18"/>
                              </w:rPr>
                              <w:t>SEK-SEN66</w:t>
                            </w:r>
                            <w:r>
                              <w:rPr>
                                <w:i/>
                                <w:iCs/>
                                <w:sz w:val="18"/>
                                <w:szCs w:val="18"/>
                              </w:rPr>
                              <w:t xml:space="preserve"> </w:t>
                            </w:r>
                            <w:proofErr w:type="spellStart"/>
                            <w:r>
                              <w:rPr>
                                <w:i/>
                                <w:iCs/>
                                <w:sz w:val="18"/>
                                <w:szCs w:val="18"/>
                              </w:rPr>
                              <w:t>Evaluationskit</w:t>
                            </w:r>
                            <w:proofErr w:type="spellEnd"/>
                            <w:r>
                              <w:rPr>
                                <w:i/>
                                <w:iCs/>
                                <w:sz w:val="18"/>
                                <w:szCs w:val="18"/>
                              </w:rPr>
                              <w:t xml:space="preserve"> von Sensirion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DF0E8D1" id="_x0000_t202" coordsize="21600,21600" o:spt="202" path="m,l,21600r21600,l21600,xe">
                <v:stroke joinstyle="miter"/>
                <v:path gradientshapeok="t" o:connecttype="rect"/>
              </v:shapetype>
              <v:shape id="Text Box 2" o:spid="_x0000_s1026" type="#_x0000_t202" style="position:absolute;left:0;text-align:left;margin-left:-7.15pt;margin-top:126.7pt;width:169.5pt;height:110.6pt;z-index:251660289;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KI/AEAANUDAAAOAAAAZHJzL2Uyb0RvYy54bWysU8tu2zAQvBfoPxC813rAdhPBcpAmdVEg&#10;fQBpP4CiKIsoyWVJ2pL79V1SimM0t6A6EEuuOLszO9zcjFqRo3BegqlpscgpEYZDK82+pj9/7N5d&#10;UeIDMy1TYERNT8LTm+3bN5vBVqKEHlQrHEEQ46vB1rQPwVZZ5nkvNPMLsMJgsgOnWcCt22etYwOi&#10;a5WVeb7OBnCtdcCF93h6PyXpNuF3neDhW9d5EYiqKfYW0urS2sQ1225YtXfM9pLPbbBXdKGZNFj0&#10;DHXPAiMHJ19AackdeOjCgoPOoOskF4kDsinyf9g89syKxAXF8fYsk/9/sPzr8dF+dySMH2DEASYS&#10;3j4A/+WJgbuemb24dQ6GXrAWCxdRsmywvpqvRql95SNIM3yBFofMDgES0Ng5HVVBngTRcQCns+hi&#10;DITjYVmsyvUKUxxzxTJfrss0loxVT9et8+GTAE1iUFOHU03w7PjgQ2yHVU+/xGoGdlKpNFllyFDT&#10;61W5ShcuMloGNJ6SuqZXefwmK0SWH02bLgcm1RRjAWVm2pHpxDmMzUhkO2sSVWigPaEODiaf4bvA&#10;oAf3h5IBPVZT//vAnKBEfTao5XWxXEZTps1y9R6JE3eZaS4zzHCEqmmgZArvQjJypOztLWq+k0mN&#10;507mltE7SaTZ59Gcl/v01/Nr3P4FAAD//wMAUEsDBBQABgAIAAAAIQBF2hfv4AAAAAsBAAAPAAAA&#10;ZHJzL2Rvd25yZXYueG1sTI/BTsMwEETvSPyDtUjcWqeJaVDIpqpQW46UEnF24yWJiO3IdtPw95gT&#10;HFfzNPO23Mx6YBM531uDsFomwMg0VvWmRajf94tHYD5Io+RgDSF8k4dNdXtTykLZq3mj6RRaFkuM&#10;LyRCF8JYcO6bjrT0SzuSidmndVqGeLqWKyevsVwPPE2SNdeyN3GhkyM9d9R8nS4aYQzjIX9xr8ft&#10;bj8l9cehTvt2h3h/N2+fgAWawx8Mv/pRHarodLYXozwbEBYrkUUUIX3IBLBIZKnIgZ0RRC7WwKuS&#10;//+h+gEAAP//AwBQSwECLQAUAAYACAAAACEAtoM4kv4AAADhAQAAEwAAAAAAAAAAAAAAAAAAAAAA&#10;W0NvbnRlbnRfVHlwZXNdLnhtbFBLAQItABQABgAIAAAAIQA4/SH/1gAAAJQBAAALAAAAAAAAAAAA&#10;AAAAAC8BAABfcmVscy8ucmVsc1BLAQItABQABgAIAAAAIQCM/aKI/AEAANUDAAAOAAAAAAAAAAAA&#10;AAAAAC4CAABkcnMvZTJvRG9jLnhtbFBLAQItABQABgAIAAAAIQBF2hfv4AAAAAsBAAAPAAAAAAAA&#10;AAAAAAAAAFYEAABkcnMvZG93bnJldi54bWxQSwUGAAAAAAQABADzAAAAYwUAAAAA&#10;" filled="f" stroked="f">
                <v:textbox style="mso-fit-shape-to-text:t">
                  <w:txbxContent>
                    <w:p w14:paraId="2BE06ECA" w14:textId="404E7FD5" w:rsidR="00C8551E" w:rsidRPr="00AE51C8" w:rsidRDefault="00C8551E" w:rsidP="00C8551E">
                      <w:pPr>
                        <w:rPr>
                          <w:i/>
                          <w:iCs/>
                          <w:sz w:val="18"/>
                          <w:szCs w:val="18"/>
                        </w:rPr>
                      </w:pPr>
                      <w:r w:rsidRPr="00AE51C8">
                        <w:rPr>
                          <w:i/>
                          <w:iCs/>
                          <w:sz w:val="18"/>
                          <w:szCs w:val="18"/>
                        </w:rPr>
                        <w:t>SEK-SEN66</w:t>
                      </w:r>
                      <w:r>
                        <w:rPr>
                          <w:i/>
                          <w:iCs/>
                          <w:sz w:val="18"/>
                          <w:szCs w:val="18"/>
                        </w:rPr>
                        <w:t xml:space="preserve"> </w:t>
                      </w:r>
                      <w:proofErr w:type="spellStart"/>
                      <w:r>
                        <w:rPr>
                          <w:i/>
                          <w:iCs/>
                          <w:sz w:val="18"/>
                          <w:szCs w:val="18"/>
                        </w:rPr>
                        <w:t>Evaluationskit</w:t>
                      </w:r>
                      <w:proofErr w:type="spellEnd"/>
                      <w:r>
                        <w:rPr>
                          <w:i/>
                          <w:iCs/>
                          <w:sz w:val="18"/>
                          <w:szCs w:val="18"/>
                        </w:rPr>
                        <w:t xml:space="preserve"> von Sensirion</w:t>
                      </w:r>
                    </w:p>
                  </w:txbxContent>
                </v:textbox>
                <w10:wrap type="square"/>
              </v:shape>
            </w:pict>
          </mc:Fallback>
        </mc:AlternateContent>
      </w:r>
      <w:r w:rsidR="00002351">
        <w:t xml:space="preserve">Stäfa, Schweiz – </w:t>
      </w:r>
      <w:r w:rsidR="00223AFE" w:rsidRPr="00223AFE">
        <w:t xml:space="preserve">Das SEK-SEN66-Evaluationskit gehört zur vielseitigen SEN6x-Produktfamilie und bietet eine benutzerfreundliche Lösung zur </w:t>
      </w:r>
      <w:r w:rsidR="00AB22AD">
        <w:t>Evaluierung</w:t>
      </w:r>
      <w:r w:rsidR="00223AFE" w:rsidRPr="00223AFE">
        <w:t xml:space="preserve"> der Sensorleistung</w:t>
      </w:r>
      <w:r w:rsidR="00223AFE">
        <w:t xml:space="preserve">. </w:t>
      </w:r>
      <w:r w:rsidR="00002351">
        <w:t xml:space="preserve">Die fortschrittlichen SEN6x-Module verfügen über integrierte Algorithmen zur Datenverarbeitung, </w:t>
      </w:r>
      <w:r w:rsidR="00223AFE" w:rsidRPr="00223AFE">
        <w:t xml:space="preserve">die es Geräteherstellern ermöglichen, sich </w:t>
      </w:r>
      <w:r w:rsidR="00223AFE">
        <w:t>auf ihre Kernkompetenzen</w:t>
      </w:r>
      <w:r w:rsidR="00223AFE" w:rsidRPr="00223AFE">
        <w:t xml:space="preserve"> </w:t>
      </w:r>
      <w:r w:rsidR="00223AFE">
        <w:t xml:space="preserve">sowie </w:t>
      </w:r>
      <w:r w:rsidR="00223AFE" w:rsidRPr="00223AFE">
        <w:t>die Entwicklung innovativer Anwendungen zu konzentrieren.</w:t>
      </w:r>
      <w:r w:rsidR="00223AFE">
        <w:t xml:space="preserve"> </w:t>
      </w:r>
      <w:r w:rsidR="00002351">
        <w:t>Da kostspielige und zeitaufwendige Optimierungen entfallen, lassen sich mit der SEN6x-Familie Produkteinführungszeiten verkürzen und die Gesamtbetriebskosten senken.</w:t>
      </w:r>
    </w:p>
    <w:p w14:paraId="5D9124FB" w14:textId="1EDA85BB" w:rsidR="00876D65" w:rsidRDefault="00876D65" w:rsidP="00876D65">
      <w:pPr>
        <w:jc w:val="both"/>
        <w:rPr>
          <w:lang w:eastAsia="de-DE"/>
        </w:rPr>
      </w:pPr>
    </w:p>
    <w:p w14:paraId="7588CAD9" w14:textId="77777777" w:rsidR="00C8551E" w:rsidRDefault="00C8551E" w:rsidP="00876D65">
      <w:pPr>
        <w:jc w:val="both"/>
      </w:pPr>
    </w:p>
    <w:p w14:paraId="749356FA" w14:textId="4804A708" w:rsidR="00876D65" w:rsidRDefault="00C92C4D" w:rsidP="00876D65">
      <w:pPr>
        <w:jc w:val="both"/>
      </w:pPr>
      <w:r>
        <w:rPr>
          <w:noProof/>
        </w:rPr>
        <mc:AlternateContent>
          <mc:Choice Requires="wps">
            <w:drawing>
              <wp:anchor distT="45720" distB="45720" distL="114300" distR="114300" simplePos="0" relativeHeight="251658241" behindDoc="0" locked="0" layoutInCell="1" allowOverlap="1" wp14:anchorId="638A376F" wp14:editId="6675ACE9">
                <wp:simplePos x="0" y="0"/>
                <wp:positionH relativeFrom="column">
                  <wp:posOffset>3311525</wp:posOffset>
                </wp:positionH>
                <wp:positionV relativeFrom="paragraph">
                  <wp:posOffset>24765</wp:posOffset>
                </wp:positionV>
                <wp:extent cx="2486025" cy="1404620"/>
                <wp:effectExtent l="0" t="0" r="9525" b="50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6025" cy="1404620"/>
                        </a:xfrm>
                        <a:prstGeom prst="rect">
                          <a:avLst/>
                        </a:prstGeom>
                        <a:solidFill>
                          <a:schemeClr val="bg2">
                            <a:lumMod val="20000"/>
                            <a:lumOff val="80000"/>
                          </a:schemeClr>
                        </a:solidFill>
                        <a:ln w="9525">
                          <a:noFill/>
                          <a:miter lim="800000"/>
                          <a:headEnd/>
                          <a:tailEnd/>
                        </a:ln>
                      </wps:spPr>
                      <wps:txbx>
                        <w:txbxContent>
                          <w:p w14:paraId="6D55AA55" w14:textId="65545CFA" w:rsidR="00A528A1" w:rsidRPr="00223AFE" w:rsidRDefault="00A528A1" w:rsidP="008C7C9C">
                            <w:pPr>
                              <w:spacing w:before="240" w:after="240"/>
                              <w:ind w:left="284"/>
                              <w:jc w:val="both"/>
                              <w:rPr>
                                <w:rFonts w:asciiTheme="majorHAnsi" w:hAnsiTheme="majorHAnsi" w:cstheme="majorHAnsi"/>
                                <w:lang w:val="en-US"/>
                              </w:rPr>
                            </w:pPr>
                            <w:r w:rsidRPr="00223AFE">
                              <w:rPr>
                                <w:rFonts w:asciiTheme="majorHAnsi" w:hAnsiTheme="majorHAnsi"/>
                                <w:lang w:val="en-US"/>
                              </w:rPr>
                              <w:t>SEN6x-Modularität</w:t>
                            </w:r>
                          </w:p>
                          <w:p w14:paraId="0A745F51" w14:textId="541CEE67" w:rsidR="00A528A1" w:rsidRPr="00223AFE" w:rsidRDefault="00A528A1" w:rsidP="008C7C9C">
                            <w:pPr>
                              <w:spacing w:after="120"/>
                              <w:ind w:left="284"/>
                              <w:jc w:val="both"/>
                              <w:rPr>
                                <w:vertAlign w:val="subscript"/>
                                <w:lang w:val="en-US"/>
                              </w:rPr>
                            </w:pPr>
                            <w:r w:rsidRPr="00223AFE">
                              <w:rPr>
                                <w:lang w:val="en-US"/>
                              </w:rPr>
                              <w:t>SEN60: PM</w:t>
                            </w:r>
                            <w:r w:rsidRPr="00223AFE">
                              <w:rPr>
                                <w:vertAlign w:val="subscript"/>
                                <w:lang w:val="en-US"/>
                              </w:rPr>
                              <w:t>1</w:t>
                            </w:r>
                            <w:r w:rsidRPr="00223AFE">
                              <w:rPr>
                                <w:lang w:val="en-US"/>
                              </w:rPr>
                              <w:t>, PM</w:t>
                            </w:r>
                            <w:r w:rsidRPr="00223AFE">
                              <w:rPr>
                                <w:vertAlign w:val="subscript"/>
                                <w:lang w:val="en-US"/>
                              </w:rPr>
                              <w:t>2.5</w:t>
                            </w:r>
                            <w:r w:rsidRPr="00223AFE">
                              <w:rPr>
                                <w:lang w:val="en-US"/>
                              </w:rPr>
                              <w:t>, PM</w:t>
                            </w:r>
                            <w:r w:rsidRPr="00223AFE">
                              <w:rPr>
                                <w:vertAlign w:val="subscript"/>
                                <w:lang w:val="en-US"/>
                              </w:rPr>
                              <w:t>4</w:t>
                            </w:r>
                            <w:r w:rsidRPr="00223AFE">
                              <w:rPr>
                                <w:lang w:val="en-US"/>
                              </w:rPr>
                              <w:t>, PM</w:t>
                            </w:r>
                            <w:r w:rsidRPr="00223AFE">
                              <w:rPr>
                                <w:vertAlign w:val="subscript"/>
                                <w:lang w:val="en-US"/>
                              </w:rPr>
                              <w:t>10</w:t>
                            </w:r>
                          </w:p>
                          <w:p w14:paraId="1EF02F0B" w14:textId="2423C736" w:rsidR="00A34EF5" w:rsidRPr="00223AFE" w:rsidRDefault="00A34EF5" w:rsidP="008C7C9C">
                            <w:pPr>
                              <w:spacing w:after="120"/>
                              <w:ind w:left="284"/>
                              <w:jc w:val="both"/>
                              <w:rPr>
                                <w:lang w:val="en-US"/>
                              </w:rPr>
                            </w:pPr>
                            <w:r w:rsidRPr="00223AFE">
                              <w:rPr>
                                <w:lang w:val="en-US"/>
                              </w:rPr>
                              <w:t>SEN63C:</w:t>
                            </w:r>
                            <w:r w:rsidRPr="00223AFE">
                              <w:rPr>
                                <w:vertAlign w:val="subscript"/>
                                <w:lang w:val="en-US"/>
                              </w:rPr>
                              <w:t xml:space="preserve"> </w:t>
                            </w:r>
                            <w:r w:rsidRPr="00223AFE">
                              <w:rPr>
                                <w:lang w:val="en-US"/>
                              </w:rPr>
                              <w:t>PM, RH, T, CO</w:t>
                            </w:r>
                            <w:r w:rsidRPr="00223AFE">
                              <w:rPr>
                                <w:vertAlign w:val="subscript"/>
                                <w:lang w:val="en-US"/>
                              </w:rPr>
                              <w:t>2</w:t>
                            </w:r>
                          </w:p>
                          <w:p w14:paraId="2D795136" w14:textId="1CE2FF92" w:rsidR="00A528A1" w:rsidRPr="00223AFE" w:rsidRDefault="00A528A1" w:rsidP="008C7C9C">
                            <w:pPr>
                              <w:spacing w:after="120"/>
                              <w:ind w:left="284"/>
                              <w:jc w:val="both"/>
                              <w:rPr>
                                <w:lang w:val="en-US"/>
                              </w:rPr>
                            </w:pPr>
                            <w:r w:rsidRPr="00223AFE">
                              <w:rPr>
                                <w:lang w:val="en-US"/>
                              </w:rPr>
                              <w:t xml:space="preserve">SEN65: PM, RH, T, VOC, NOx </w:t>
                            </w:r>
                          </w:p>
                          <w:p w14:paraId="380DF75C" w14:textId="2F9E11C5" w:rsidR="00A528A1" w:rsidRPr="00223AFE" w:rsidRDefault="00A528A1" w:rsidP="003C375E">
                            <w:pPr>
                              <w:spacing w:after="120"/>
                              <w:ind w:left="284"/>
                              <w:jc w:val="both"/>
                              <w:rPr>
                                <w:lang w:val="en-US"/>
                              </w:rPr>
                            </w:pPr>
                            <w:r w:rsidRPr="00223AFE">
                              <w:rPr>
                                <w:lang w:val="en-US"/>
                              </w:rPr>
                              <w:t>SEN66: PM, RH, T, VOC, NOx, CO</w:t>
                            </w:r>
                            <w:r w:rsidRPr="00223AFE">
                              <w:rPr>
                                <w:vertAlign w:val="subscript"/>
                                <w:lang w:val="en-US"/>
                              </w:rPr>
                              <w:t>2</w:t>
                            </w:r>
                          </w:p>
                          <w:p w14:paraId="32B1AFC4" w14:textId="359F463D" w:rsidR="003C375E" w:rsidRPr="00223AFE" w:rsidRDefault="003C375E" w:rsidP="003C375E">
                            <w:pPr>
                              <w:spacing w:after="240"/>
                              <w:ind w:left="284"/>
                              <w:jc w:val="both"/>
                              <w:rPr>
                                <w:lang w:val="en-US"/>
                              </w:rPr>
                            </w:pPr>
                            <w:r w:rsidRPr="00223AFE">
                              <w:rPr>
                                <w:lang w:val="en-US"/>
                              </w:rPr>
                              <w:t>SEN68: PM, RH, T, VOC, NOx, HCHO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38A376F" id="_x0000_t202" coordsize="21600,21600" o:spt="202" path="m,l,21600r21600,l21600,xe">
                <v:stroke joinstyle="miter"/>
                <v:path gradientshapeok="t" o:connecttype="rect"/>
              </v:shapetype>
              <v:shape id="Text Box 2" o:spid="_x0000_s1026" type="#_x0000_t202" style="position:absolute;left:0;text-align:left;margin-left:260.75pt;margin-top:1.95pt;width:195.7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6qJQIAADEEAAAOAAAAZHJzL2Uyb0RvYy54bWysU8GO0zAQvSPxD5bvNGnUlm606WrpUoS0&#10;LEgLH+A4TmNhe4ztNilfz9hJuwVuiItlz9jvzbx5vr0btCJH4bwEU9H5LKdEGA6NNPuKfvu6e7Om&#10;xAdmGqbAiIqehKd3m9evbntbigI6UI1wBEGML3tb0S4EW2aZ553QzM/ACoPJFpxmAY9unzWO9Yiu&#10;VVbk+SrrwTXWARfeY/RhTNJNwm9bwcPntvUiEFVRrC2k1aW1jmu2uWXl3jHbST6Vwf6hCs2kQdIL&#10;1AMLjByc/AtKS+7AQxtmHHQGbSu5SD1gN/P8j26eO2ZF6gXF8fYik/9/sPzp+Gy/OBKGdzDgAFMT&#10;3j4C/+6JgW3HzF7cOwd9J1iDxPMoWdZbX05Po9S+9BGk7j9Bg0NmhwAJaGidjqpgnwTRcQCni+hi&#10;CIRjsFisV3mxpIRjbr7IF6sijSVj5fm5dT58EKBJ3FTU4VQTPDs++hDLYeX5SmTzoGSzk0qlQ3SS&#10;2CpHjgw9UO+L9FQdNNY6xtBH+eQEDKNfxvD6HEb45MeIksh+I1CG9BW9WWILkc9AZE620jKgt5XU&#10;FU1YE0cU8r1p0pXApBr3SKLMpGwUc5Q1DPWAF6PCNTQn1NjB6GH8c7jpwP2kpEf/VtT/ODAnKFEf&#10;Dc7pZr5YRMOnw2L5FkUl7jpTX2eY4QhV0UDJuN2G9EmSgvYe57mTSemXSqZa0ZdJk+kPReNfn9Ot&#10;l5+++QUAAP//AwBQSwMEFAAGAAgAAAAhADervU3eAAAACQEAAA8AAABkcnMvZG93bnJldi54bWxM&#10;j0tPwzAQhO9I/AdrkbhR56GgJmRToQrEAfXQB3c3XpKIeB3Zbhr+PeYEx9GMZr6pN4sZxUzOD5YR&#10;0lUCgri1euAO4XR8fViD8EGxVqNlQvgmD5vm9qZWlbZX3tN8CJ2IJewrhdCHMFVS+rYno/zKTsTR&#10;+7TOqBCl66R26hrLzSizJHmURg0cF3o10ban9utwMQjbonS87vLT3i72bbd7+TjO7yni/d3y/AQi&#10;0BL+wvCLH9GhiUxne2HtxYhQZGkRowh5CSL6ZZrHb2eELCtSkE0t/z9ofgAAAP//AwBQSwECLQAU&#10;AAYACAAAACEAtoM4kv4AAADhAQAAEwAAAAAAAAAAAAAAAAAAAAAAW0NvbnRlbnRfVHlwZXNdLnht&#10;bFBLAQItABQABgAIAAAAIQA4/SH/1gAAAJQBAAALAAAAAAAAAAAAAAAAAC8BAABfcmVscy8ucmVs&#10;c1BLAQItABQABgAIAAAAIQCx/E6qJQIAADEEAAAOAAAAAAAAAAAAAAAAAC4CAABkcnMvZTJvRG9j&#10;LnhtbFBLAQItABQABgAIAAAAIQA3q71N3gAAAAkBAAAPAAAAAAAAAAAAAAAAAH8EAABkcnMvZG93&#10;bnJldi54bWxQSwUGAAAAAAQABADzAAAAigUAAAAA&#10;" fillcolor="#f1f1f1 [670]" stroked="f">
                <v:textbox style="mso-fit-shape-to-text:t">
                  <w:txbxContent>
                    <w:p w14:paraId="6D55AA55" w14:textId="65545CFA" w:rsidR="00A528A1" w:rsidRPr="00223AFE" w:rsidRDefault="00A528A1" w:rsidP="008C7C9C">
                      <w:pPr>
                        <w:spacing w:before="240" w:after="240"/>
                        <w:ind w:left="284"/>
                        <w:jc w:val="both"/>
                        <w:rPr>
                          <w:rFonts w:asciiTheme="majorHAnsi" w:hAnsiTheme="majorHAnsi" w:cstheme="majorHAnsi"/>
                          <w:lang w:val="en-US"/>
                        </w:rPr>
                      </w:pPr>
                      <w:r w:rsidRPr="00223AFE">
                        <w:rPr>
                          <w:rFonts w:asciiTheme="majorHAnsi" w:hAnsiTheme="majorHAnsi"/>
                          <w:lang w:val="en-US"/>
                        </w:rPr>
                        <w:t>SEN6x-Modularität</w:t>
                      </w:r>
                    </w:p>
                    <w:p w14:paraId="0A745F51" w14:textId="541CEE67" w:rsidR="00A528A1" w:rsidRPr="00223AFE" w:rsidRDefault="00A528A1" w:rsidP="008C7C9C">
                      <w:pPr>
                        <w:spacing w:after="120"/>
                        <w:ind w:left="284"/>
                        <w:jc w:val="both"/>
                        <w:rPr>
                          <w:vertAlign w:val="subscript"/>
                          <w:lang w:val="en-US"/>
                        </w:rPr>
                      </w:pPr>
                      <w:r w:rsidRPr="00223AFE">
                        <w:rPr>
                          <w:lang w:val="en-US"/>
                        </w:rPr>
                        <w:t>SEN60: PM</w:t>
                      </w:r>
                      <w:r w:rsidRPr="00223AFE">
                        <w:rPr>
                          <w:vertAlign w:val="subscript"/>
                          <w:lang w:val="en-US"/>
                        </w:rPr>
                        <w:t>1</w:t>
                      </w:r>
                      <w:r w:rsidRPr="00223AFE">
                        <w:rPr>
                          <w:lang w:val="en-US"/>
                        </w:rPr>
                        <w:t>, PM</w:t>
                      </w:r>
                      <w:r w:rsidRPr="00223AFE">
                        <w:rPr>
                          <w:vertAlign w:val="subscript"/>
                          <w:lang w:val="en-US"/>
                        </w:rPr>
                        <w:t>2.5</w:t>
                      </w:r>
                      <w:r w:rsidRPr="00223AFE">
                        <w:rPr>
                          <w:lang w:val="en-US"/>
                        </w:rPr>
                        <w:t>, PM</w:t>
                      </w:r>
                      <w:r w:rsidRPr="00223AFE">
                        <w:rPr>
                          <w:vertAlign w:val="subscript"/>
                          <w:lang w:val="en-US"/>
                        </w:rPr>
                        <w:t>4</w:t>
                      </w:r>
                      <w:r w:rsidRPr="00223AFE">
                        <w:rPr>
                          <w:lang w:val="en-US"/>
                        </w:rPr>
                        <w:t>, PM</w:t>
                      </w:r>
                      <w:r w:rsidRPr="00223AFE">
                        <w:rPr>
                          <w:vertAlign w:val="subscript"/>
                          <w:lang w:val="en-US"/>
                        </w:rPr>
                        <w:t>10</w:t>
                      </w:r>
                    </w:p>
                    <w:p w14:paraId="1EF02F0B" w14:textId="2423C736" w:rsidR="00A34EF5" w:rsidRPr="00223AFE" w:rsidRDefault="00A34EF5" w:rsidP="008C7C9C">
                      <w:pPr>
                        <w:spacing w:after="120"/>
                        <w:ind w:left="284"/>
                        <w:jc w:val="both"/>
                        <w:rPr>
                          <w:lang w:val="en-US"/>
                        </w:rPr>
                      </w:pPr>
                      <w:r w:rsidRPr="00223AFE">
                        <w:rPr>
                          <w:lang w:val="en-US"/>
                        </w:rPr>
                        <w:t>SEN63C:</w:t>
                      </w:r>
                      <w:r w:rsidRPr="00223AFE">
                        <w:rPr>
                          <w:vertAlign w:val="subscript"/>
                          <w:lang w:val="en-US"/>
                        </w:rPr>
                        <w:t xml:space="preserve"> </w:t>
                      </w:r>
                      <w:r w:rsidRPr="00223AFE">
                        <w:rPr>
                          <w:lang w:val="en-US"/>
                        </w:rPr>
                        <w:t>PM, RH, T, CO</w:t>
                      </w:r>
                      <w:r w:rsidRPr="00223AFE">
                        <w:rPr>
                          <w:vertAlign w:val="subscript"/>
                          <w:lang w:val="en-US"/>
                        </w:rPr>
                        <w:t>2</w:t>
                      </w:r>
                    </w:p>
                    <w:p w14:paraId="2D795136" w14:textId="1CE2FF92" w:rsidR="00A528A1" w:rsidRPr="00223AFE" w:rsidRDefault="00A528A1" w:rsidP="008C7C9C">
                      <w:pPr>
                        <w:spacing w:after="120"/>
                        <w:ind w:left="284"/>
                        <w:jc w:val="both"/>
                        <w:rPr>
                          <w:lang w:val="en-US"/>
                        </w:rPr>
                      </w:pPr>
                      <w:r w:rsidRPr="00223AFE">
                        <w:rPr>
                          <w:lang w:val="en-US"/>
                        </w:rPr>
                        <w:t xml:space="preserve">SEN65: PM, RH, T, VOC, NOx </w:t>
                      </w:r>
                    </w:p>
                    <w:p w14:paraId="380DF75C" w14:textId="2F9E11C5" w:rsidR="00A528A1" w:rsidRPr="00223AFE" w:rsidRDefault="00A528A1" w:rsidP="003C375E">
                      <w:pPr>
                        <w:spacing w:after="120"/>
                        <w:ind w:left="284"/>
                        <w:jc w:val="both"/>
                        <w:rPr>
                          <w:lang w:val="en-US"/>
                        </w:rPr>
                      </w:pPr>
                      <w:r w:rsidRPr="00223AFE">
                        <w:rPr>
                          <w:lang w:val="en-US"/>
                        </w:rPr>
                        <w:t>SEN66: PM, RH, T, VOC, NOx, CO</w:t>
                      </w:r>
                      <w:r w:rsidRPr="00223AFE">
                        <w:rPr>
                          <w:vertAlign w:val="subscript"/>
                          <w:lang w:val="en-US"/>
                        </w:rPr>
                        <w:t>2</w:t>
                      </w:r>
                    </w:p>
                    <w:p w14:paraId="32B1AFC4" w14:textId="359F463D" w:rsidR="003C375E" w:rsidRPr="00223AFE" w:rsidRDefault="003C375E" w:rsidP="003C375E">
                      <w:pPr>
                        <w:spacing w:after="240"/>
                        <w:ind w:left="284"/>
                        <w:jc w:val="both"/>
                        <w:rPr>
                          <w:lang w:val="en-US"/>
                        </w:rPr>
                      </w:pPr>
                      <w:r w:rsidRPr="00223AFE">
                        <w:rPr>
                          <w:lang w:val="en-US"/>
                        </w:rPr>
                        <w:t>SEN68: PM, RH, T, VOC, NOx, HCHO</w:t>
                      </w:r>
                    </w:p>
                  </w:txbxContent>
                </v:textbox>
                <w10:wrap type="square"/>
              </v:shape>
            </w:pict>
          </mc:Fallback>
        </mc:AlternateContent>
      </w:r>
      <w:r w:rsidR="008C7C9C">
        <w:t>Ein wichtiges Merkmal der SEN6x-Serie ist ihr modularer Ansatz. Mit einem einzigen Design-in können mehrere Produktebenen einfach unterstützt werden. Dies ermöglicht eine aussergewöhnliche Flexibilität und massgeschneiderte Lösungen für unterschiedliche Marktanforderungen. Egal, ob für Feinstaubmessungen (PM) oder verschiedenste Parameter der Luftqualität – einschliesslich Temperatur (T), relative Luftfeuchtigkeit (RH), flüchtige organische Verbindungen (VOC), Stickoxide (</w:t>
      </w:r>
      <w:proofErr w:type="spellStart"/>
      <w:r w:rsidR="008C7C9C">
        <w:t>NOx</w:t>
      </w:r>
      <w:proofErr w:type="spellEnd"/>
      <w:r w:rsidR="008C7C9C">
        <w:t>), Kohlendioxid (CO</w:t>
      </w:r>
      <w:r w:rsidR="008C7C9C">
        <w:rPr>
          <w:vertAlign w:val="subscript"/>
        </w:rPr>
        <w:t>2</w:t>
      </w:r>
      <w:r w:rsidR="008C7C9C">
        <w:t>) oder Formaldehyd (HCHO) – SEN6x bietet eine skalierbare, umfassende Lösung.</w:t>
      </w:r>
    </w:p>
    <w:p w14:paraId="7668329E" w14:textId="03A5A272" w:rsidR="007F398B" w:rsidRDefault="007F398B" w:rsidP="00876D65">
      <w:pPr>
        <w:jc w:val="both"/>
        <w:rPr>
          <w:lang w:eastAsia="de-DE"/>
        </w:rPr>
      </w:pPr>
    </w:p>
    <w:p w14:paraId="06DFB973" w14:textId="43F8DC66" w:rsidR="00002351" w:rsidRDefault="00002351" w:rsidP="00876D65">
      <w:pPr>
        <w:jc w:val="both"/>
        <w:rPr>
          <w:lang w:eastAsia="de-DE"/>
        </w:rPr>
      </w:pPr>
    </w:p>
    <w:p w14:paraId="0837F023" w14:textId="69CCE9B5" w:rsidR="003C375E" w:rsidRDefault="004D04E4" w:rsidP="00876D65">
      <w:pPr>
        <w:jc w:val="both"/>
      </w:pPr>
      <w:r>
        <w:t>«</w:t>
      </w:r>
      <w:r w:rsidRPr="004D04E4">
        <w:t xml:space="preserve">Das SEK-SEN66-Evaluationskit ist ab sofort über das globale Vertriebsnetz von Sensirion verfügbar und ermöglicht </w:t>
      </w:r>
      <w:r w:rsidR="0001710F">
        <w:t>eine direkte Bewertung der umfassenden</w:t>
      </w:r>
      <w:r w:rsidRPr="004D04E4">
        <w:t xml:space="preserve"> </w:t>
      </w:r>
      <w:r w:rsidR="0001710F">
        <w:t>Sensorfunktionen</w:t>
      </w:r>
      <w:r w:rsidRPr="004D04E4">
        <w:t>. Es wurde entwickelt, um die Produktentwicklung zu beschleunigen und ist ein ideales Werkzeug für Unternehmen, die fortschrittliche Lösungen zur Überwachung der Luftqualität implementieren möchten</w:t>
      </w:r>
      <w:r>
        <w:t xml:space="preserve">», so David Carminati, </w:t>
      </w:r>
      <w:r w:rsidRPr="00CE13C8">
        <w:t xml:space="preserve">Produktmanager für </w:t>
      </w:r>
      <w:r w:rsidR="00984FEA" w:rsidRPr="00CE13C8">
        <w:t>Environmental Nodes bei Sensirion.</w:t>
      </w:r>
    </w:p>
    <w:p w14:paraId="4991BB9B" w14:textId="77777777" w:rsidR="004D04E4" w:rsidRPr="00876D65" w:rsidRDefault="004D04E4" w:rsidP="00876D65">
      <w:pPr>
        <w:jc w:val="both"/>
        <w:rPr>
          <w:lang w:eastAsia="de-DE"/>
        </w:rPr>
      </w:pPr>
    </w:p>
    <w:p w14:paraId="6719B1FE" w14:textId="3A105C34" w:rsidR="007F398B" w:rsidRDefault="004D04E4" w:rsidP="00876D65">
      <w:pPr>
        <w:jc w:val="both"/>
        <w:rPr>
          <w:lang w:eastAsia="de-DE"/>
        </w:rPr>
      </w:pPr>
      <w:r w:rsidRPr="004D04E4">
        <w:t>Für weitere Informationen oder zum Kauf des SEK-SEN66 Evaluationskits besuchen Sie</w:t>
      </w:r>
      <w:r w:rsidR="00C92C4D">
        <w:t xml:space="preserve"> </w:t>
      </w:r>
      <w:hyperlink r:id="rId12" w:history="1">
        <w:r w:rsidR="00C92C4D" w:rsidRPr="00C92C4D">
          <w:rPr>
            <w:rStyle w:val="Hyperlink"/>
          </w:rPr>
          <w:t>ihre Website</w:t>
        </w:r>
      </w:hyperlink>
      <w:r w:rsidR="00C92C4D">
        <w:t xml:space="preserve"> </w:t>
      </w:r>
      <w:r w:rsidRPr="004D04E4">
        <w:t>oder wenden Sie sich an Ihren lokalen Sensirion-Vertriebspartner.</w:t>
      </w:r>
    </w:p>
    <w:p w14:paraId="58956DD7" w14:textId="6D04F17F" w:rsidR="00DE20EB" w:rsidRDefault="00DE20EB" w:rsidP="00BA7BDA">
      <w:pPr>
        <w:spacing w:line="240" w:lineRule="auto"/>
        <w:rPr>
          <w:lang w:eastAsia="de-DE"/>
        </w:rPr>
      </w:pPr>
    </w:p>
    <w:p w14:paraId="11005C28" w14:textId="77777777" w:rsidR="00173E29" w:rsidRDefault="00173E29" w:rsidP="00BA7BDA">
      <w:pPr>
        <w:spacing w:line="240" w:lineRule="auto"/>
        <w:rPr>
          <w:lang w:eastAsia="de-DE"/>
        </w:rPr>
      </w:pPr>
    </w:p>
    <w:p w14:paraId="7960D9EB" w14:textId="77777777" w:rsidR="00173E29" w:rsidRDefault="00173E29" w:rsidP="00BA7BDA">
      <w:pPr>
        <w:spacing w:line="240" w:lineRule="auto"/>
        <w:rPr>
          <w:lang w:eastAsia="de-DE"/>
        </w:rPr>
      </w:pPr>
    </w:p>
    <w:p w14:paraId="59B6C236" w14:textId="77777777" w:rsidR="00173E29" w:rsidRDefault="00173E29" w:rsidP="00BA7BDA">
      <w:pPr>
        <w:spacing w:line="240" w:lineRule="auto"/>
        <w:rPr>
          <w:lang w:eastAsia="de-DE"/>
        </w:rPr>
      </w:pPr>
    </w:p>
    <w:p w14:paraId="2C713410" w14:textId="0DE7035C" w:rsidR="00173E29" w:rsidRDefault="00173E29">
      <w:pPr>
        <w:spacing w:line="240" w:lineRule="auto"/>
        <w:rPr>
          <w:lang w:eastAsia="de-DE"/>
        </w:rPr>
      </w:pPr>
      <w:r>
        <w:rPr>
          <w:lang w:eastAsia="de-DE"/>
        </w:rPr>
        <w:br w:type="page"/>
      </w:r>
    </w:p>
    <w:p w14:paraId="6815412C" w14:textId="77777777" w:rsidR="00173E29" w:rsidRDefault="00173E29" w:rsidP="00173E29">
      <w:pPr>
        <w:pStyle w:val="SensirionSubtitle"/>
      </w:pPr>
    </w:p>
    <w:p w14:paraId="0E9301A4" w14:textId="77777777" w:rsidR="00173E29" w:rsidRDefault="00173E29" w:rsidP="00173E29">
      <w:pPr>
        <w:pStyle w:val="SensirionSubtitle"/>
      </w:pPr>
    </w:p>
    <w:p w14:paraId="3B79FA29" w14:textId="77777777" w:rsidR="00173E29" w:rsidRDefault="00173E29" w:rsidP="00173E29">
      <w:pPr>
        <w:pStyle w:val="SensirionSubtitle"/>
        <w:pBdr>
          <w:top w:val="single" w:sz="4" w:space="1" w:color="auto"/>
        </w:pBdr>
      </w:pPr>
    </w:p>
    <w:p w14:paraId="58B55E9E" w14:textId="38B2B942" w:rsidR="00173E29" w:rsidRPr="00C8551E" w:rsidRDefault="00173E29" w:rsidP="00391FF7">
      <w:pPr>
        <w:pBdr>
          <w:top w:val="single" w:sz="4" w:space="1" w:color="auto"/>
        </w:pBdr>
        <w:spacing w:line="240" w:lineRule="auto"/>
        <w:rPr>
          <w:b/>
          <w:bCs/>
          <w:lang w:eastAsia="de-DE"/>
        </w:rPr>
      </w:pPr>
      <w:r w:rsidRPr="00C8551E">
        <w:rPr>
          <w:b/>
          <w:bCs/>
          <w:lang w:eastAsia="de-DE"/>
        </w:rPr>
        <w:t xml:space="preserve">Über Sensirion – </w:t>
      </w:r>
      <w:proofErr w:type="spellStart"/>
      <w:r w:rsidRPr="00C8551E">
        <w:rPr>
          <w:b/>
          <w:bCs/>
          <w:lang w:eastAsia="de-DE"/>
        </w:rPr>
        <w:t>Experts</w:t>
      </w:r>
      <w:proofErr w:type="spellEnd"/>
      <w:r w:rsidRPr="00C8551E">
        <w:rPr>
          <w:b/>
          <w:bCs/>
          <w:lang w:eastAsia="de-DE"/>
        </w:rPr>
        <w:t xml:space="preserve"> </w:t>
      </w:r>
      <w:proofErr w:type="spellStart"/>
      <w:r w:rsidRPr="00C8551E">
        <w:rPr>
          <w:b/>
          <w:bCs/>
          <w:lang w:eastAsia="de-DE"/>
        </w:rPr>
        <w:t>for</w:t>
      </w:r>
      <w:proofErr w:type="spellEnd"/>
      <w:r w:rsidRPr="00C8551E">
        <w:rPr>
          <w:b/>
          <w:bCs/>
          <w:lang w:eastAsia="de-DE"/>
        </w:rPr>
        <w:t xml:space="preserve"> smart </w:t>
      </w:r>
      <w:proofErr w:type="spellStart"/>
      <w:r w:rsidRPr="00C8551E">
        <w:rPr>
          <w:b/>
          <w:bCs/>
          <w:lang w:eastAsia="de-DE"/>
        </w:rPr>
        <w:t>sensor</w:t>
      </w:r>
      <w:proofErr w:type="spellEnd"/>
      <w:r w:rsidRPr="00C8551E">
        <w:rPr>
          <w:b/>
          <w:bCs/>
          <w:lang w:eastAsia="de-DE"/>
        </w:rPr>
        <w:t xml:space="preserve"> </w:t>
      </w:r>
      <w:proofErr w:type="spellStart"/>
      <w:r w:rsidRPr="00C8551E">
        <w:rPr>
          <w:b/>
          <w:bCs/>
          <w:lang w:eastAsia="de-DE"/>
        </w:rPr>
        <w:t>solutions</w:t>
      </w:r>
      <w:proofErr w:type="spellEnd"/>
    </w:p>
    <w:p w14:paraId="40FBC2BE" w14:textId="77777777" w:rsidR="00173E29" w:rsidRDefault="00173E29" w:rsidP="00B57999">
      <w:pPr>
        <w:jc w:val="both"/>
        <w:rPr>
          <w:lang w:eastAsia="de-DE"/>
        </w:rPr>
      </w:pPr>
      <w:r w:rsidRPr="00122B51">
        <w:rPr>
          <w:lang w:eastAsia="de-DE"/>
        </w:rPr>
        <w:t xml:space="preserve">Sensirion ist einer der weltweit führenden Entwickler und Hersteller von Sensoren und Sensorlösungen, die für mehr Effizienz, Gesundheit, Sicherheit und Komfort sorgen. 1998 gegründet, beschäftigt Sensirion heute am Hauptsitz in Stäfa (Schweiz) sowie in zahlreichen internationalen Niederlassungen rund 1’000 Mitarbeitende. Mit den Sensoren von Sensirion lassen sich unterschiedlichste Umweltparameter sowie Durchflüsse präzis und zuverlässig messen. Ziel des Unternehmens ist es, die Welt mit wegweisender Sensortechnologie smarter zu machen. Als Innovationspionier entwickelt Sensirion Lösungen für die spezifischen Bedürfnisse von Kunden und Partnern aus der Automobilindustrie, Industrie, Medizintechnik und Unterhaltungselektronik ebenso wie hochwertige Produkte für die kosteneffiziente Massenproduktion. </w:t>
      </w:r>
      <w:r>
        <w:rPr>
          <w:lang w:eastAsia="de-DE"/>
        </w:rPr>
        <w:t>Mehr Informationen und aktuelle Kennzahlen auf www.sensirion.com.</w:t>
      </w:r>
    </w:p>
    <w:p w14:paraId="7278A714" w14:textId="77777777" w:rsidR="00173E29" w:rsidRPr="001D1624" w:rsidRDefault="00173E29" w:rsidP="00BA7BDA">
      <w:pPr>
        <w:spacing w:line="240" w:lineRule="auto"/>
        <w:rPr>
          <w:lang w:eastAsia="de-DE"/>
        </w:rPr>
      </w:pPr>
    </w:p>
    <w:sectPr w:rsidR="00173E29" w:rsidRPr="001D1624" w:rsidSect="00C5040D">
      <w:headerReference w:type="default" r:id="rId13"/>
      <w:footerReference w:type="default" r:id="rId14"/>
      <w:headerReference w:type="first" r:id="rId15"/>
      <w:footerReference w:type="first" r:id="rId16"/>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FBEDEE" w14:textId="77777777" w:rsidR="00051CEE" w:rsidRDefault="00051CEE" w:rsidP="0054380F">
      <w:pPr>
        <w:spacing w:line="240" w:lineRule="auto"/>
      </w:pPr>
      <w:r>
        <w:separator/>
      </w:r>
    </w:p>
  </w:endnote>
  <w:endnote w:type="continuationSeparator" w:id="0">
    <w:p w14:paraId="2E0D0323" w14:textId="77777777" w:rsidR="00051CEE" w:rsidRDefault="00051CEE" w:rsidP="0054380F">
      <w:pPr>
        <w:spacing w:line="240" w:lineRule="auto"/>
      </w:pPr>
      <w:r>
        <w:continuationSeparator/>
      </w:r>
    </w:p>
  </w:endnote>
  <w:endnote w:type="continuationNotice" w:id="1">
    <w:p w14:paraId="21514526" w14:textId="77777777" w:rsidR="00051CEE" w:rsidRDefault="00051CE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62B34" w14:textId="77777777" w:rsidR="00D44150" w:rsidRPr="00372AC0" w:rsidRDefault="00D91EAB" w:rsidP="000B2869">
    <w:pPr>
      <w:pStyle w:val="Footer"/>
    </w:pPr>
    <w:r>
      <w:t>© Copyright Sensirion AG</w:t>
    </w:r>
    <w:r>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9C0C3" w14:textId="77777777" w:rsidR="00D44150" w:rsidRDefault="00D44150">
    <w:pPr>
      <w:pStyle w:val="Footer"/>
    </w:pPr>
    <w:r>
      <w:tab/>
    </w:r>
    <w:r>
      <w:tab/>
      <w:t xml:space="preserve">Seite </w:t>
    </w:r>
    <w:r w:rsidR="00B730FE">
      <w:fldChar w:fldCharType="begin"/>
    </w:r>
    <w:r w:rsidR="00935B8D">
      <w:instrText xml:space="preserve"> PAGE   \* MERGEFORMAT </w:instrText>
    </w:r>
    <w:r w:rsidR="00B730FE">
      <w:fldChar w:fldCharType="separate"/>
    </w:r>
    <w:r>
      <w:t>1</w:t>
    </w:r>
    <w:r w:rsidR="00B730FE">
      <w:fldChar w:fldCharType="end"/>
    </w:r>
    <w:r>
      <w:t xml:space="preserve"> / </w:t>
    </w:r>
    <w:fldSimple w:instr=" NUMPAGES   \* MERGEFORMAT ">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AAB008" w14:textId="77777777" w:rsidR="00051CEE" w:rsidRDefault="00051CEE" w:rsidP="0054380F">
      <w:pPr>
        <w:spacing w:line="240" w:lineRule="auto"/>
      </w:pPr>
      <w:r>
        <w:separator/>
      </w:r>
    </w:p>
  </w:footnote>
  <w:footnote w:type="continuationSeparator" w:id="0">
    <w:p w14:paraId="69820547" w14:textId="77777777" w:rsidR="00051CEE" w:rsidRDefault="00051CEE" w:rsidP="0054380F">
      <w:pPr>
        <w:spacing w:line="240" w:lineRule="auto"/>
      </w:pPr>
      <w:r>
        <w:continuationSeparator/>
      </w:r>
    </w:p>
  </w:footnote>
  <w:footnote w:type="continuationNotice" w:id="1">
    <w:p w14:paraId="0149F446" w14:textId="77777777" w:rsidR="00051CEE" w:rsidRDefault="00051CE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5EF692" w14:textId="77777777" w:rsidR="00D44150" w:rsidRDefault="00661641">
    <w:pPr>
      <w:pStyle w:val="Header"/>
    </w:pPr>
    <w:r>
      <w:rPr>
        <w:noProof/>
      </w:rPr>
      <w:drawing>
        <wp:anchor distT="0" distB="0" distL="0" distR="0" simplePos="0" relativeHeight="251658240" behindDoc="1" locked="1" layoutInCell="1" allowOverlap="1" wp14:anchorId="6536E1EB" wp14:editId="0585D45C">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F64666" w14:textId="77777777" w:rsidR="00D44150" w:rsidRDefault="00EE0CB5">
    <w:pPr>
      <w:pStyle w:val="Header"/>
    </w:pPr>
    <w:r>
      <w:rPr>
        <w:noProof/>
      </w:rPr>
      <w:drawing>
        <wp:anchor distT="0" distB="0" distL="114300" distR="114300" simplePos="0" relativeHeight="251658241" behindDoc="1" locked="0" layoutInCell="1" allowOverlap="1" wp14:anchorId="7A3074AE" wp14:editId="2FF93E4F">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9"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7"/>
  </w:num>
  <w:num w:numId="3" w16cid:durableId="1578400284">
    <w:abstractNumId w:val="3"/>
  </w:num>
  <w:num w:numId="4" w16cid:durableId="1091857931">
    <w:abstractNumId w:val="6"/>
  </w:num>
  <w:num w:numId="5" w16cid:durableId="996156133">
    <w:abstractNumId w:val="8"/>
  </w:num>
  <w:num w:numId="6" w16cid:durableId="15458258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4"/>
  </w:num>
  <w:num w:numId="8" w16cid:durableId="1556505634">
    <w:abstractNumId w:val="5"/>
  </w:num>
  <w:num w:numId="9" w16cid:durableId="425276189">
    <w:abstractNumId w:val="1"/>
  </w:num>
  <w:num w:numId="10" w16cid:durableId="1797064802">
    <w:abstractNumId w:val="2"/>
  </w:num>
  <w:num w:numId="11" w16cid:durableId="94118712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624"/>
    <w:rsid w:val="00002351"/>
    <w:rsid w:val="0001710F"/>
    <w:rsid w:val="0002134E"/>
    <w:rsid w:val="0002682B"/>
    <w:rsid w:val="000406CD"/>
    <w:rsid w:val="00051CEE"/>
    <w:rsid w:val="000700BD"/>
    <w:rsid w:val="00071744"/>
    <w:rsid w:val="000718AC"/>
    <w:rsid w:val="00071AE2"/>
    <w:rsid w:val="0007341D"/>
    <w:rsid w:val="000903CE"/>
    <w:rsid w:val="00096D1E"/>
    <w:rsid w:val="000B2869"/>
    <w:rsid w:val="000D523B"/>
    <w:rsid w:val="000D7F02"/>
    <w:rsid w:val="000F0F48"/>
    <w:rsid w:val="000F24EC"/>
    <w:rsid w:val="000F4CED"/>
    <w:rsid w:val="00102207"/>
    <w:rsid w:val="00112447"/>
    <w:rsid w:val="00114A71"/>
    <w:rsid w:val="00114D80"/>
    <w:rsid w:val="001156D3"/>
    <w:rsid w:val="00124F40"/>
    <w:rsid w:val="00151C8E"/>
    <w:rsid w:val="001611AF"/>
    <w:rsid w:val="001639A4"/>
    <w:rsid w:val="001665A6"/>
    <w:rsid w:val="00173E29"/>
    <w:rsid w:val="001B29A6"/>
    <w:rsid w:val="001D1624"/>
    <w:rsid w:val="001D5236"/>
    <w:rsid w:val="001E1FA7"/>
    <w:rsid w:val="001E282A"/>
    <w:rsid w:val="001E6D3A"/>
    <w:rsid w:val="00223AFE"/>
    <w:rsid w:val="00227D72"/>
    <w:rsid w:val="002779AB"/>
    <w:rsid w:val="002B4C89"/>
    <w:rsid w:val="002B7775"/>
    <w:rsid w:val="002D5AFA"/>
    <w:rsid w:val="002E0D90"/>
    <w:rsid w:val="002F53B8"/>
    <w:rsid w:val="002F75B2"/>
    <w:rsid w:val="003067D8"/>
    <w:rsid w:val="0033350F"/>
    <w:rsid w:val="00344A64"/>
    <w:rsid w:val="00345AD8"/>
    <w:rsid w:val="00365915"/>
    <w:rsid w:val="00372AC0"/>
    <w:rsid w:val="00374196"/>
    <w:rsid w:val="00384A16"/>
    <w:rsid w:val="00387466"/>
    <w:rsid w:val="00391FF7"/>
    <w:rsid w:val="0039299E"/>
    <w:rsid w:val="00395AB5"/>
    <w:rsid w:val="003A0080"/>
    <w:rsid w:val="003C375E"/>
    <w:rsid w:val="003E3705"/>
    <w:rsid w:val="00401A91"/>
    <w:rsid w:val="00411C9F"/>
    <w:rsid w:val="00442153"/>
    <w:rsid w:val="004448D2"/>
    <w:rsid w:val="0047464B"/>
    <w:rsid w:val="004754CC"/>
    <w:rsid w:val="00476BCB"/>
    <w:rsid w:val="00483F63"/>
    <w:rsid w:val="0049233D"/>
    <w:rsid w:val="00495788"/>
    <w:rsid w:val="004B6F57"/>
    <w:rsid w:val="004C0541"/>
    <w:rsid w:val="004D04E4"/>
    <w:rsid w:val="004E47E0"/>
    <w:rsid w:val="005007DF"/>
    <w:rsid w:val="00505EAC"/>
    <w:rsid w:val="00527B1E"/>
    <w:rsid w:val="0054380F"/>
    <w:rsid w:val="00550233"/>
    <w:rsid w:val="00584D18"/>
    <w:rsid w:val="00592B46"/>
    <w:rsid w:val="005C0352"/>
    <w:rsid w:val="005E7EB2"/>
    <w:rsid w:val="005F24E3"/>
    <w:rsid w:val="006227DA"/>
    <w:rsid w:val="00661641"/>
    <w:rsid w:val="00665C7D"/>
    <w:rsid w:val="00672F3F"/>
    <w:rsid w:val="006A5423"/>
    <w:rsid w:val="006A7AAB"/>
    <w:rsid w:val="006C4645"/>
    <w:rsid w:val="006D30A0"/>
    <w:rsid w:val="006E5C06"/>
    <w:rsid w:val="00703360"/>
    <w:rsid w:val="007267E3"/>
    <w:rsid w:val="007B0CAA"/>
    <w:rsid w:val="007E1F11"/>
    <w:rsid w:val="007F398B"/>
    <w:rsid w:val="00801670"/>
    <w:rsid w:val="00811948"/>
    <w:rsid w:val="00817EF4"/>
    <w:rsid w:val="00832F96"/>
    <w:rsid w:val="00836E0B"/>
    <w:rsid w:val="00840AA5"/>
    <w:rsid w:val="00876D65"/>
    <w:rsid w:val="008C3807"/>
    <w:rsid w:val="008C59CA"/>
    <w:rsid w:val="008C7C9C"/>
    <w:rsid w:val="00923720"/>
    <w:rsid w:val="009249ED"/>
    <w:rsid w:val="00935B8D"/>
    <w:rsid w:val="00936C4F"/>
    <w:rsid w:val="00950448"/>
    <w:rsid w:val="00957A44"/>
    <w:rsid w:val="00964ADD"/>
    <w:rsid w:val="00974728"/>
    <w:rsid w:val="00984FEA"/>
    <w:rsid w:val="00986756"/>
    <w:rsid w:val="00990984"/>
    <w:rsid w:val="00995A26"/>
    <w:rsid w:val="009B011E"/>
    <w:rsid w:val="009C0788"/>
    <w:rsid w:val="009C43FC"/>
    <w:rsid w:val="009D2A77"/>
    <w:rsid w:val="009E32A0"/>
    <w:rsid w:val="009E5A33"/>
    <w:rsid w:val="00A10CC5"/>
    <w:rsid w:val="00A131A9"/>
    <w:rsid w:val="00A141E5"/>
    <w:rsid w:val="00A32015"/>
    <w:rsid w:val="00A325E4"/>
    <w:rsid w:val="00A34EF5"/>
    <w:rsid w:val="00A353C1"/>
    <w:rsid w:val="00A528A1"/>
    <w:rsid w:val="00A5624A"/>
    <w:rsid w:val="00A71276"/>
    <w:rsid w:val="00A722D2"/>
    <w:rsid w:val="00A8374D"/>
    <w:rsid w:val="00A9042D"/>
    <w:rsid w:val="00A93798"/>
    <w:rsid w:val="00AA5F6F"/>
    <w:rsid w:val="00AB22AD"/>
    <w:rsid w:val="00AB465E"/>
    <w:rsid w:val="00AD470F"/>
    <w:rsid w:val="00AE1D8A"/>
    <w:rsid w:val="00AE2D2D"/>
    <w:rsid w:val="00AE77FB"/>
    <w:rsid w:val="00AF3525"/>
    <w:rsid w:val="00AF587E"/>
    <w:rsid w:val="00B01418"/>
    <w:rsid w:val="00B0608A"/>
    <w:rsid w:val="00B36BAD"/>
    <w:rsid w:val="00B43297"/>
    <w:rsid w:val="00B54145"/>
    <w:rsid w:val="00B57999"/>
    <w:rsid w:val="00B641CC"/>
    <w:rsid w:val="00B71553"/>
    <w:rsid w:val="00B730FE"/>
    <w:rsid w:val="00B757BD"/>
    <w:rsid w:val="00BA7BDA"/>
    <w:rsid w:val="00BB3E79"/>
    <w:rsid w:val="00BD0BEE"/>
    <w:rsid w:val="00BD1648"/>
    <w:rsid w:val="00BD2641"/>
    <w:rsid w:val="00BD62C2"/>
    <w:rsid w:val="00C3756F"/>
    <w:rsid w:val="00C5040D"/>
    <w:rsid w:val="00C64E26"/>
    <w:rsid w:val="00C73B16"/>
    <w:rsid w:val="00C81CE6"/>
    <w:rsid w:val="00C8551E"/>
    <w:rsid w:val="00C92C4D"/>
    <w:rsid w:val="00CE13C8"/>
    <w:rsid w:val="00CF2C8E"/>
    <w:rsid w:val="00CF7230"/>
    <w:rsid w:val="00D06FA3"/>
    <w:rsid w:val="00D269E1"/>
    <w:rsid w:val="00D44150"/>
    <w:rsid w:val="00D44B21"/>
    <w:rsid w:val="00D502C0"/>
    <w:rsid w:val="00D5508C"/>
    <w:rsid w:val="00D601C3"/>
    <w:rsid w:val="00D83E55"/>
    <w:rsid w:val="00D91EAB"/>
    <w:rsid w:val="00D9787E"/>
    <w:rsid w:val="00DA4150"/>
    <w:rsid w:val="00DA5EFF"/>
    <w:rsid w:val="00DB0292"/>
    <w:rsid w:val="00DB58D5"/>
    <w:rsid w:val="00DC7647"/>
    <w:rsid w:val="00DE20EB"/>
    <w:rsid w:val="00E01F44"/>
    <w:rsid w:val="00E20478"/>
    <w:rsid w:val="00E306C2"/>
    <w:rsid w:val="00E32DB8"/>
    <w:rsid w:val="00E37B1D"/>
    <w:rsid w:val="00E76C33"/>
    <w:rsid w:val="00E94DCD"/>
    <w:rsid w:val="00EC096E"/>
    <w:rsid w:val="00ED119D"/>
    <w:rsid w:val="00EE0CB5"/>
    <w:rsid w:val="00EE28D7"/>
    <w:rsid w:val="00EF5079"/>
    <w:rsid w:val="00F07475"/>
    <w:rsid w:val="00F108E3"/>
    <w:rsid w:val="00F12361"/>
    <w:rsid w:val="00F22AED"/>
    <w:rsid w:val="00F40AFE"/>
    <w:rsid w:val="00F5617D"/>
    <w:rsid w:val="00F563FA"/>
    <w:rsid w:val="00F65887"/>
    <w:rsid w:val="00F80C44"/>
    <w:rsid w:val="00FA2046"/>
    <w:rsid w:val="00FB08E7"/>
    <w:rsid w:val="00FE1331"/>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D13E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de-CH"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IntenseQuote">
    <w:name w:val="Intense Quote"/>
    <w:basedOn w:val="Normal"/>
    <w:next w:val="Normal"/>
    <w:link w:val="IntenseQuoteChar"/>
    <w:uiPriority w:val="99"/>
    <w:semiHidden/>
    <w:unhideWhenUsed/>
    <w:qFormat/>
    <w:rsid w:val="001D1624"/>
    <w:pPr>
      <w:pBdr>
        <w:top w:val="single" w:sz="4" w:space="10" w:color="4C9826" w:themeColor="accent1" w:themeShade="BF"/>
        <w:bottom w:val="single" w:sz="4" w:space="10" w:color="4C9826" w:themeColor="accent1" w:themeShade="BF"/>
      </w:pBdr>
      <w:spacing w:before="360" w:after="360"/>
      <w:ind w:left="864" w:right="864"/>
      <w:jc w:val="center"/>
    </w:pPr>
    <w:rPr>
      <w:i/>
      <w:iCs/>
      <w:color w:val="4C9826" w:themeColor="accent1" w:themeShade="BF"/>
    </w:rPr>
  </w:style>
  <w:style w:type="character" w:customStyle="1" w:styleId="IntenseQuoteChar">
    <w:name w:val="Intense Quote Char"/>
    <w:basedOn w:val="DefaultParagraphFont"/>
    <w:link w:val="IntenseQuote"/>
    <w:uiPriority w:val="99"/>
    <w:semiHidden/>
    <w:rsid w:val="001D1624"/>
    <w:rPr>
      <w:i/>
      <w:iCs/>
      <w:color w:val="4C9826" w:themeColor="accent1" w:themeShade="BF"/>
    </w:rPr>
  </w:style>
  <w:style w:type="character" w:styleId="IntenseReference">
    <w:name w:val="Intense Reference"/>
    <w:basedOn w:val="DefaultParagraphFont"/>
    <w:uiPriority w:val="99"/>
    <w:semiHidden/>
    <w:unhideWhenUsed/>
    <w:qFormat/>
    <w:rsid w:val="001D1624"/>
    <w:rPr>
      <w:b/>
      <w:bCs/>
      <w:smallCaps/>
      <w:color w:val="4C9826" w:themeColor="accent1" w:themeShade="BF"/>
      <w:spacing w:val="5"/>
    </w:rPr>
  </w:style>
  <w:style w:type="character" w:styleId="CommentReference">
    <w:name w:val="annotation reference"/>
    <w:basedOn w:val="DefaultParagraphFont"/>
    <w:uiPriority w:val="99"/>
    <w:semiHidden/>
    <w:unhideWhenUsed/>
    <w:rsid w:val="00F12361"/>
    <w:rPr>
      <w:sz w:val="16"/>
      <w:szCs w:val="16"/>
    </w:rPr>
  </w:style>
  <w:style w:type="paragraph" w:styleId="CommentText">
    <w:name w:val="annotation text"/>
    <w:basedOn w:val="Normal"/>
    <w:link w:val="CommentTextChar"/>
    <w:uiPriority w:val="99"/>
    <w:unhideWhenUsed/>
    <w:rsid w:val="00F12361"/>
    <w:pPr>
      <w:spacing w:line="240" w:lineRule="auto"/>
    </w:pPr>
  </w:style>
  <w:style w:type="character" w:customStyle="1" w:styleId="CommentTextChar">
    <w:name w:val="Comment Text Char"/>
    <w:basedOn w:val="DefaultParagraphFont"/>
    <w:link w:val="CommentText"/>
    <w:uiPriority w:val="99"/>
    <w:rsid w:val="00F12361"/>
  </w:style>
  <w:style w:type="paragraph" w:styleId="CommentSubject">
    <w:name w:val="annotation subject"/>
    <w:basedOn w:val="CommentText"/>
    <w:next w:val="CommentText"/>
    <w:link w:val="CommentSubjectChar"/>
    <w:uiPriority w:val="99"/>
    <w:semiHidden/>
    <w:unhideWhenUsed/>
    <w:rsid w:val="00F12361"/>
    <w:rPr>
      <w:b/>
      <w:bCs/>
    </w:rPr>
  </w:style>
  <w:style w:type="character" w:customStyle="1" w:styleId="CommentSubjectChar">
    <w:name w:val="Comment Subject Char"/>
    <w:basedOn w:val="CommentTextChar"/>
    <w:link w:val="CommentSubject"/>
    <w:uiPriority w:val="99"/>
    <w:semiHidden/>
    <w:rsid w:val="00F123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85134">
      <w:bodyDiv w:val="1"/>
      <w:marLeft w:val="0"/>
      <w:marRight w:val="0"/>
      <w:marTop w:val="0"/>
      <w:marBottom w:val="0"/>
      <w:divBdr>
        <w:top w:val="none" w:sz="0" w:space="0" w:color="auto"/>
        <w:left w:val="none" w:sz="0" w:space="0" w:color="auto"/>
        <w:bottom w:val="none" w:sz="0" w:space="0" w:color="auto"/>
        <w:right w:val="none" w:sz="0" w:space="0" w:color="auto"/>
      </w:divBdr>
    </w:div>
    <w:div w:id="597830681">
      <w:bodyDiv w:val="1"/>
      <w:marLeft w:val="0"/>
      <w:marRight w:val="0"/>
      <w:marTop w:val="0"/>
      <w:marBottom w:val="0"/>
      <w:divBdr>
        <w:top w:val="none" w:sz="0" w:space="0" w:color="auto"/>
        <w:left w:val="none" w:sz="0" w:space="0" w:color="auto"/>
        <w:bottom w:val="none" w:sz="0" w:space="0" w:color="auto"/>
        <w:right w:val="none" w:sz="0" w:space="0" w:color="auto"/>
      </w:divBdr>
    </w:div>
    <w:div w:id="808672392">
      <w:bodyDiv w:val="1"/>
      <w:marLeft w:val="0"/>
      <w:marRight w:val="0"/>
      <w:marTop w:val="0"/>
      <w:marBottom w:val="0"/>
      <w:divBdr>
        <w:top w:val="none" w:sz="0" w:space="0" w:color="auto"/>
        <w:left w:val="none" w:sz="0" w:space="0" w:color="auto"/>
        <w:bottom w:val="none" w:sz="0" w:space="0" w:color="auto"/>
        <w:right w:val="none" w:sz="0" w:space="0" w:color="auto"/>
      </w:divBdr>
    </w:div>
    <w:div w:id="932280749">
      <w:bodyDiv w:val="1"/>
      <w:marLeft w:val="0"/>
      <w:marRight w:val="0"/>
      <w:marTop w:val="0"/>
      <w:marBottom w:val="0"/>
      <w:divBdr>
        <w:top w:val="none" w:sz="0" w:space="0" w:color="auto"/>
        <w:left w:val="none" w:sz="0" w:space="0" w:color="auto"/>
        <w:bottom w:val="none" w:sz="0" w:space="0" w:color="auto"/>
        <w:right w:val="none" w:sz="0" w:space="0" w:color="auto"/>
      </w:divBdr>
    </w:div>
    <w:div w:id="1141574208">
      <w:bodyDiv w:val="1"/>
      <w:marLeft w:val="0"/>
      <w:marRight w:val="0"/>
      <w:marTop w:val="0"/>
      <w:marBottom w:val="0"/>
      <w:divBdr>
        <w:top w:val="none" w:sz="0" w:space="0" w:color="auto"/>
        <w:left w:val="none" w:sz="0" w:space="0" w:color="auto"/>
        <w:bottom w:val="none" w:sz="0" w:space="0" w:color="auto"/>
        <w:right w:val="none" w:sz="0" w:space="0" w:color="auto"/>
      </w:divBdr>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 w:id="2118210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nsirion.com/products/catalog/SEK-SEN66"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21" ma:contentTypeDescription="Create a new document." ma:contentTypeScope="" ma:versionID="61623b74ca53c7c83af19a162bc4bfe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84c5dc16f321d7a36a0d88a959d20b4"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Props1.xml><?xml version="1.0" encoding="utf-8"?>
<ds:datastoreItem xmlns:ds="http://schemas.openxmlformats.org/officeDocument/2006/customXml" ds:itemID="{C5990D33-3B8E-4B8E-B082-58AF3FAA31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3.xml><?xml version="1.0" encoding="utf-8"?>
<ds:datastoreItem xmlns:ds="http://schemas.openxmlformats.org/officeDocument/2006/customXml" ds:itemID="{5665DA23-1AB2-4796-B57E-716B4F2B781F}">
  <ds:schemaRefs>
    <ds:schemaRef ds:uri="http://schemas.microsoft.com/sharepoint/v3/contenttype/forms"/>
  </ds:schemaRefs>
</ds:datastoreItem>
</file>

<file path=customXml/itemProps4.xml><?xml version="1.0" encoding="utf-8"?>
<ds:datastoreItem xmlns:ds="http://schemas.openxmlformats.org/officeDocument/2006/customXml" ds:itemID="{57B60DCB-0AD9-4A70-8DBB-861A2384586D}">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439</Words>
  <Characters>2760</Characters>
  <Application>Microsoft Office Word</Application>
  <DocSecurity>0</DocSecurity>
  <Lines>55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2024-11-13T09:38:00Z</dcterms:created>
  <dcterms:modified xsi:type="dcterms:W3CDTF">2024-11-20T07:10:00Z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MediaServiceImageTags">
    <vt:lpwstr/>
  </property>
</Properties>
</file>