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F801C" w14:textId="77777777" w:rsidR="008B1F95" w:rsidRPr="008B1F95" w:rsidRDefault="008B1F95" w:rsidP="008B1F95">
      <w:pPr>
        <w:rPr>
          <w:rFonts w:asciiTheme="majorHAnsi" w:hAnsiTheme="majorHAnsi"/>
          <w:lang w:val="de-CH" w:eastAsia="de-DE"/>
        </w:rPr>
      </w:pPr>
      <w:r w:rsidRPr="008B1F95">
        <w:rPr>
          <w:rFonts w:asciiTheme="majorHAnsi" w:hAnsiTheme="majorHAnsi"/>
          <w:lang w:val="de-CH" w:eastAsia="de-DE"/>
        </w:rPr>
        <w:t>Medienmitteilung</w:t>
      </w:r>
    </w:p>
    <w:p w14:paraId="0D6282B9" w14:textId="7243D619" w:rsidR="008B1F95" w:rsidRPr="008B1F95" w:rsidRDefault="00EB7B11" w:rsidP="008B1F95">
      <w:pPr>
        <w:rPr>
          <w:lang w:val="de-CH" w:eastAsia="de-DE"/>
        </w:rPr>
      </w:pPr>
      <w:r>
        <w:rPr>
          <w:lang w:val="de-CH" w:eastAsia="de-DE"/>
        </w:rPr>
        <w:t>14.</w:t>
      </w:r>
      <w:r w:rsidR="00A70610">
        <w:rPr>
          <w:lang w:val="de-CH" w:eastAsia="de-DE"/>
        </w:rPr>
        <w:t>04.</w:t>
      </w:r>
      <w:r>
        <w:rPr>
          <w:lang w:val="de-CH" w:eastAsia="de-DE"/>
        </w:rPr>
        <w:t>2026,</w:t>
      </w:r>
      <w:r w:rsidR="008B1F95" w:rsidRPr="008B1F95">
        <w:rPr>
          <w:lang w:val="de-CH" w:eastAsia="de-DE"/>
        </w:rPr>
        <w:t xml:space="preserve"> Sensirion Holding AG, 8712 Stäfa, Schweiz</w:t>
      </w:r>
    </w:p>
    <w:p w14:paraId="173DB0CD" w14:textId="77777777" w:rsidR="00122B51" w:rsidRDefault="008B1F95" w:rsidP="008B1F95">
      <w:pPr>
        <w:rPr>
          <w:lang w:val="de-CH" w:eastAsia="de-DE"/>
        </w:rPr>
      </w:pPr>
      <w:r w:rsidRPr="008B1F95">
        <w:rPr>
          <w:lang w:val="de-CH" w:eastAsia="de-DE"/>
        </w:rPr>
        <w:t>Ad-hoc-Mitteilung gemäss Art. 53 KR</w:t>
      </w:r>
    </w:p>
    <w:p w14:paraId="34B467CA" w14:textId="77777777" w:rsidR="008B1F95" w:rsidRDefault="008B1F95" w:rsidP="008B1F95">
      <w:pPr>
        <w:pBdr>
          <w:bottom w:val="single" w:sz="6" w:space="1" w:color="auto"/>
        </w:pBdr>
        <w:rPr>
          <w:lang w:val="de-CH" w:eastAsia="de-DE"/>
        </w:rPr>
      </w:pPr>
    </w:p>
    <w:p w14:paraId="07FE7685" w14:textId="77777777" w:rsidR="008B1F95" w:rsidRPr="00122B51" w:rsidRDefault="008B1F95" w:rsidP="008B1F95">
      <w:pPr>
        <w:rPr>
          <w:lang w:val="de-CH" w:eastAsia="de-DE"/>
        </w:rPr>
      </w:pPr>
    </w:p>
    <w:p w14:paraId="48158064" w14:textId="77777777" w:rsidR="00553615" w:rsidRPr="00122B51" w:rsidRDefault="00553615" w:rsidP="00122B51">
      <w:pPr>
        <w:rPr>
          <w:lang w:val="de-CH" w:eastAsia="de-DE"/>
        </w:rPr>
      </w:pPr>
    </w:p>
    <w:p w14:paraId="311009B5" w14:textId="77777777" w:rsidR="00122B51" w:rsidRPr="004E7B01" w:rsidRDefault="007D4742" w:rsidP="00122B51">
      <w:pPr>
        <w:rPr>
          <w:rFonts w:asciiTheme="majorHAnsi" w:hAnsiTheme="majorHAnsi"/>
          <w:sz w:val="28"/>
          <w:lang w:val="de-CH" w:eastAsia="de-DE"/>
        </w:rPr>
      </w:pPr>
      <w:r w:rsidRPr="000540BE">
        <w:rPr>
          <w:rFonts w:asciiTheme="majorHAnsi" w:hAnsiTheme="majorHAnsi"/>
          <w:sz w:val="28"/>
          <w:lang w:val="de-CH" w:eastAsia="de-DE"/>
        </w:rPr>
        <w:t>Sensirio</w:t>
      </w:r>
      <w:r w:rsidR="0009507E" w:rsidRPr="003F18E6">
        <w:rPr>
          <w:rFonts w:asciiTheme="majorHAnsi" w:hAnsiTheme="majorHAnsi"/>
          <w:sz w:val="28"/>
          <w:lang w:val="de-CH" w:eastAsia="de-DE"/>
        </w:rPr>
        <w:t>n</w:t>
      </w:r>
      <w:r w:rsidR="0009507E" w:rsidRPr="00AE332C">
        <w:rPr>
          <w:lang w:val="de-CH"/>
        </w:rPr>
        <w:t xml:space="preserve"> </w:t>
      </w:r>
      <w:r w:rsidR="0009507E" w:rsidRPr="000540BE">
        <w:rPr>
          <w:rFonts w:asciiTheme="majorHAnsi" w:hAnsiTheme="majorHAnsi"/>
          <w:sz w:val="28"/>
          <w:lang w:val="de-CH" w:eastAsia="de-DE"/>
        </w:rPr>
        <w:t>stellt fokussierte Wachstumsfelder,</w:t>
      </w:r>
      <w:r w:rsidR="000540BE" w:rsidRPr="000540BE">
        <w:rPr>
          <w:rFonts w:asciiTheme="majorHAnsi" w:hAnsiTheme="majorHAnsi"/>
          <w:sz w:val="28"/>
          <w:lang w:val="de-CH" w:eastAsia="de-DE"/>
        </w:rPr>
        <w:t xml:space="preserve"> </w:t>
      </w:r>
      <w:r w:rsidR="0009507E" w:rsidRPr="000540BE">
        <w:rPr>
          <w:rFonts w:asciiTheme="majorHAnsi" w:hAnsiTheme="majorHAnsi"/>
          <w:sz w:val="28"/>
          <w:lang w:val="de-CH" w:eastAsia="de-DE"/>
        </w:rPr>
        <w:t xml:space="preserve">Technologiepositionierung und Kapitalrendite in den Mittelpunkt des Investorentags </w:t>
      </w:r>
    </w:p>
    <w:p w14:paraId="4F512FAF" w14:textId="77777777" w:rsidR="007D4742" w:rsidRDefault="007D4742" w:rsidP="00122B51">
      <w:pPr>
        <w:rPr>
          <w:lang w:val="de-CH" w:eastAsia="de-DE"/>
        </w:rPr>
      </w:pPr>
    </w:p>
    <w:p w14:paraId="789F2420" w14:textId="77777777" w:rsidR="000540BE" w:rsidRDefault="00B029E1" w:rsidP="00122B51">
      <w:pPr>
        <w:rPr>
          <w:rFonts w:asciiTheme="majorHAnsi" w:hAnsiTheme="majorHAnsi"/>
          <w:lang w:val="de-CH" w:eastAsia="de-DE"/>
        </w:rPr>
      </w:pPr>
      <w:r w:rsidRPr="00B029E1">
        <w:rPr>
          <w:rFonts w:asciiTheme="majorHAnsi" w:hAnsiTheme="majorHAnsi"/>
          <w:lang w:val="de-CH" w:eastAsia="de-DE"/>
        </w:rPr>
        <w:t xml:space="preserve">Heute, </w:t>
      </w:r>
      <w:r>
        <w:rPr>
          <w:rFonts w:asciiTheme="majorHAnsi" w:hAnsiTheme="majorHAnsi"/>
          <w:lang w:val="de-CH" w:eastAsia="de-DE"/>
        </w:rPr>
        <w:t>14. April</w:t>
      </w:r>
      <w:r w:rsidRPr="00B029E1">
        <w:rPr>
          <w:rFonts w:asciiTheme="majorHAnsi" w:hAnsiTheme="majorHAnsi"/>
          <w:lang w:val="de-CH" w:eastAsia="de-DE"/>
        </w:rPr>
        <w:t xml:space="preserve"> 202</w:t>
      </w:r>
      <w:r>
        <w:rPr>
          <w:rFonts w:asciiTheme="majorHAnsi" w:hAnsiTheme="majorHAnsi"/>
          <w:lang w:val="de-CH" w:eastAsia="de-DE"/>
        </w:rPr>
        <w:t>6</w:t>
      </w:r>
      <w:r w:rsidRPr="00B029E1">
        <w:rPr>
          <w:rFonts w:asciiTheme="majorHAnsi" w:hAnsiTheme="majorHAnsi"/>
          <w:lang w:val="de-CH" w:eastAsia="de-DE"/>
        </w:rPr>
        <w:t xml:space="preserve">, </w:t>
      </w:r>
      <w:r w:rsidR="003527BF">
        <w:rPr>
          <w:rFonts w:asciiTheme="majorHAnsi" w:hAnsiTheme="majorHAnsi"/>
          <w:lang w:val="de-CH" w:eastAsia="de-DE"/>
        </w:rPr>
        <w:t>gibt</w:t>
      </w:r>
      <w:r w:rsidR="003527BF" w:rsidRPr="00B029E1">
        <w:rPr>
          <w:rFonts w:asciiTheme="majorHAnsi" w:hAnsiTheme="majorHAnsi"/>
          <w:lang w:val="de-CH" w:eastAsia="de-DE"/>
        </w:rPr>
        <w:t xml:space="preserve"> </w:t>
      </w:r>
      <w:r w:rsidRPr="00B029E1">
        <w:rPr>
          <w:rFonts w:asciiTheme="majorHAnsi" w:hAnsiTheme="majorHAnsi"/>
          <w:lang w:val="de-CH" w:eastAsia="de-DE"/>
        </w:rPr>
        <w:t xml:space="preserve">Sensirion </w:t>
      </w:r>
      <w:r w:rsidR="00017F16">
        <w:rPr>
          <w:rFonts w:asciiTheme="majorHAnsi" w:hAnsiTheme="majorHAnsi"/>
          <w:lang w:val="de-CH" w:eastAsia="de-DE"/>
        </w:rPr>
        <w:t>anlässlich ihres</w:t>
      </w:r>
      <w:r w:rsidRPr="00B029E1">
        <w:rPr>
          <w:rFonts w:asciiTheme="majorHAnsi" w:hAnsiTheme="majorHAnsi"/>
          <w:lang w:val="de-CH" w:eastAsia="de-DE"/>
        </w:rPr>
        <w:t xml:space="preserve"> Investorentag</w:t>
      </w:r>
      <w:r w:rsidR="00017F16">
        <w:rPr>
          <w:rFonts w:asciiTheme="majorHAnsi" w:hAnsiTheme="majorHAnsi"/>
          <w:lang w:val="de-CH" w:eastAsia="de-DE"/>
        </w:rPr>
        <w:t>es</w:t>
      </w:r>
      <w:r w:rsidRPr="00B029E1">
        <w:rPr>
          <w:rFonts w:asciiTheme="majorHAnsi" w:hAnsiTheme="majorHAnsi"/>
          <w:lang w:val="de-CH" w:eastAsia="de-DE"/>
        </w:rPr>
        <w:t xml:space="preserve"> </w:t>
      </w:r>
      <w:r>
        <w:rPr>
          <w:rFonts w:asciiTheme="majorHAnsi" w:hAnsiTheme="majorHAnsi"/>
          <w:lang w:val="de-CH" w:eastAsia="de-DE"/>
        </w:rPr>
        <w:t xml:space="preserve">einen </w:t>
      </w:r>
      <w:r w:rsidR="002F0EB9" w:rsidRPr="002F0EB9">
        <w:rPr>
          <w:rFonts w:asciiTheme="majorHAnsi" w:hAnsiTheme="majorHAnsi"/>
          <w:lang w:val="de-CH" w:eastAsia="de-DE"/>
        </w:rPr>
        <w:t>vertieften Einblick in ihre Strategie, die priorisierten Wachstumsfelder sowie ihre langfristige Wertschöpfungs</w:t>
      </w:r>
      <w:r w:rsidR="00D20ED1">
        <w:rPr>
          <w:rFonts w:asciiTheme="majorHAnsi" w:hAnsiTheme="majorHAnsi"/>
          <w:lang w:val="de-CH" w:eastAsia="de-DE"/>
        </w:rPr>
        <w:t xml:space="preserve">- und </w:t>
      </w:r>
      <w:r w:rsidR="00D20ED1" w:rsidRPr="00D20ED1">
        <w:rPr>
          <w:rFonts w:asciiTheme="majorHAnsi" w:hAnsiTheme="majorHAnsi"/>
          <w:lang w:val="de-CH" w:eastAsia="de-DE"/>
        </w:rPr>
        <w:t>Kapitalallokations</w:t>
      </w:r>
      <w:r w:rsidR="002F0EB9" w:rsidRPr="002F0EB9">
        <w:rPr>
          <w:rFonts w:asciiTheme="majorHAnsi" w:hAnsiTheme="majorHAnsi"/>
          <w:lang w:val="de-CH" w:eastAsia="de-DE"/>
        </w:rPr>
        <w:t>logik.</w:t>
      </w:r>
      <w:r w:rsidR="002F0EB9">
        <w:rPr>
          <w:rFonts w:asciiTheme="majorHAnsi" w:hAnsiTheme="majorHAnsi"/>
          <w:lang w:val="de-CH" w:eastAsia="de-DE"/>
        </w:rPr>
        <w:t xml:space="preserve"> </w:t>
      </w:r>
    </w:p>
    <w:p w14:paraId="0C39D62A" w14:textId="77777777" w:rsidR="00B029E1" w:rsidRPr="00122B51" w:rsidRDefault="00B029E1" w:rsidP="00122B51">
      <w:pPr>
        <w:rPr>
          <w:lang w:val="de-CH" w:eastAsia="de-DE"/>
        </w:rPr>
      </w:pPr>
    </w:p>
    <w:p w14:paraId="21D9CA86" w14:textId="77777777" w:rsidR="001823AE" w:rsidRDefault="00756F54" w:rsidP="00583472">
      <w:pPr>
        <w:rPr>
          <w:lang w:val="de-CH" w:eastAsia="de-DE"/>
        </w:rPr>
      </w:pPr>
      <w:r w:rsidRPr="00756F54">
        <w:rPr>
          <w:lang w:val="de-CH" w:eastAsia="de-DE"/>
        </w:rPr>
        <w:t xml:space="preserve">Sensirion </w:t>
      </w:r>
      <w:r w:rsidR="009D30CD">
        <w:rPr>
          <w:lang w:val="de-CH" w:eastAsia="de-DE"/>
        </w:rPr>
        <w:t>positioniert sich</w:t>
      </w:r>
      <w:r w:rsidRPr="00756F54">
        <w:rPr>
          <w:lang w:val="de-CH" w:eastAsia="de-DE"/>
        </w:rPr>
        <w:t xml:space="preserve"> als </w:t>
      </w:r>
      <w:r w:rsidR="009D30CD">
        <w:rPr>
          <w:lang w:val="de-CH" w:eastAsia="de-DE"/>
        </w:rPr>
        <w:t xml:space="preserve">ein </w:t>
      </w:r>
      <w:r w:rsidRPr="00756F54">
        <w:rPr>
          <w:lang w:val="de-CH" w:eastAsia="de-DE"/>
        </w:rPr>
        <w:t xml:space="preserve">weltweit </w:t>
      </w:r>
      <w:r w:rsidR="009D30CD">
        <w:rPr>
          <w:lang w:val="de-CH" w:eastAsia="de-DE"/>
        </w:rPr>
        <w:t>führende</w:t>
      </w:r>
      <w:r w:rsidR="000F037A">
        <w:rPr>
          <w:lang w:val="de-CH" w:eastAsia="de-DE"/>
        </w:rPr>
        <w:t>r Sensorhersteller</w:t>
      </w:r>
      <w:r w:rsidR="004E7B01">
        <w:rPr>
          <w:lang w:val="de-CH" w:eastAsia="de-DE"/>
        </w:rPr>
        <w:t xml:space="preserve"> </w:t>
      </w:r>
      <w:r w:rsidRPr="00756F54">
        <w:rPr>
          <w:lang w:val="de-CH" w:eastAsia="de-DE"/>
        </w:rPr>
        <w:t xml:space="preserve">mit einem vollständig integrierten </w:t>
      </w:r>
      <w:r w:rsidR="00A23DDE" w:rsidRPr="00E2517F">
        <w:rPr>
          <w:lang w:val="de-CH" w:eastAsia="de-DE"/>
        </w:rPr>
        <w:t>Technologieportfolio</w:t>
      </w:r>
      <w:r w:rsidRPr="00756F54">
        <w:rPr>
          <w:lang w:val="de-CH" w:eastAsia="de-DE"/>
        </w:rPr>
        <w:t xml:space="preserve"> zur präzisen Messung kleinster Gasmengen – von </w:t>
      </w:r>
      <w:r w:rsidR="00A23DDE" w:rsidRPr="00E2517F">
        <w:rPr>
          <w:lang w:val="de-CH" w:eastAsia="de-DE"/>
        </w:rPr>
        <w:t>Hochvolumenanwendungen</w:t>
      </w:r>
      <w:r w:rsidRPr="00756F54">
        <w:rPr>
          <w:lang w:val="de-CH" w:eastAsia="de-DE"/>
        </w:rPr>
        <w:t xml:space="preserve"> bis hin </w:t>
      </w:r>
      <w:r w:rsidR="00A23DDE" w:rsidRPr="00E2517F">
        <w:rPr>
          <w:lang w:val="de-CH" w:eastAsia="de-DE"/>
        </w:rPr>
        <w:t>zu</w:t>
      </w:r>
      <w:r w:rsidRPr="00756F54">
        <w:rPr>
          <w:lang w:val="de-CH" w:eastAsia="de-DE"/>
        </w:rPr>
        <w:t xml:space="preserve"> hochsensitiven </w:t>
      </w:r>
      <w:r w:rsidR="00A23DDE" w:rsidRPr="00E2517F">
        <w:rPr>
          <w:lang w:val="de-CH" w:eastAsia="de-DE"/>
        </w:rPr>
        <w:t>Gasanalysen.</w:t>
      </w:r>
      <w:r w:rsidRPr="00756F54">
        <w:rPr>
          <w:lang w:val="de-CH" w:eastAsia="de-DE"/>
        </w:rPr>
        <w:t xml:space="preserve"> </w:t>
      </w:r>
      <w:r w:rsidR="00882D26" w:rsidRPr="00882D26">
        <w:rPr>
          <w:lang w:val="de-CH" w:eastAsia="de-DE"/>
        </w:rPr>
        <w:t xml:space="preserve">Aufbauend auf ihrer führenden Position in der Umwelt‑ und Durchflusssensorik fokussiert sich Sensirion strategisch auf Smart Gas Sensing – </w:t>
      </w:r>
      <w:r w:rsidR="00A23DDE" w:rsidRPr="00E2517F">
        <w:rPr>
          <w:lang w:val="de-CH" w:eastAsia="de-DE"/>
        </w:rPr>
        <w:t>einen</w:t>
      </w:r>
      <w:r w:rsidR="00882D26" w:rsidRPr="00882D26">
        <w:rPr>
          <w:lang w:val="de-CH" w:eastAsia="de-DE"/>
        </w:rPr>
        <w:t xml:space="preserve"> schnell </w:t>
      </w:r>
      <w:r w:rsidR="00A23DDE" w:rsidRPr="00E2517F">
        <w:rPr>
          <w:lang w:val="de-CH" w:eastAsia="de-DE"/>
        </w:rPr>
        <w:t>wachsenden</w:t>
      </w:r>
      <w:r w:rsidR="00882D26" w:rsidRPr="00882D26">
        <w:rPr>
          <w:lang w:val="de-CH" w:eastAsia="de-DE"/>
        </w:rPr>
        <w:t xml:space="preserve"> Milliardenmarkt, </w:t>
      </w:r>
      <w:r w:rsidR="00E070B3">
        <w:rPr>
          <w:lang w:val="de-CH" w:eastAsia="de-DE"/>
        </w:rPr>
        <w:t>der</w:t>
      </w:r>
      <w:r w:rsidR="00882D26" w:rsidRPr="00882D26">
        <w:rPr>
          <w:lang w:val="de-CH" w:eastAsia="de-DE"/>
        </w:rPr>
        <w:t xml:space="preserve"> durch </w:t>
      </w:r>
      <w:r w:rsidR="00D61612">
        <w:rPr>
          <w:lang w:val="de-CH" w:eastAsia="de-DE"/>
        </w:rPr>
        <w:t xml:space="preserve">Megatrends wie </w:t>
      </w:r>
      <w:r w:rsidR="00882D26" w:rsidRPr="00882D26">
        <w:rPr>
          <w:lang w:val="de-CH" w:eastAsia="de-DE"/>
        </w:rPr>
        <w:t xml:space="preserve">Regulierung, Klimaschutz und Gesundheit strukturell getrieben </w:t>
      </w:r>
      <w:r w:rsidR="00A23DDE" w:rsidRPr="00E2517F">
        <w:rPr>
          <w:lang w:val="de-CH" w:eastAsia="de-DE"/>
        </w:rPr>
        <w:t>wird.</w:t>
      </w:r>
      <w:r w:rsidR="00882D26" w:rsidRPr="00882D26" w:rsidDel="00882D26">
        <w:rPr>
          <w:lang w:val="de-CH" w:eastAsia="de-DE"/>
        </w:rPr>
        <w:t xml:space="preserve"> </w:t>
      </w:r>
      <w:r w:rsidR="00D61612" w:rsidRPr="00D61612">
        <w:rPr>
          <w:lang w:val="de-CH" w:eastAsia="de-DE"/>
        </w:rPr>
        <w:t xml:space="preserve">Vor diesem Hintergrund </w:t>
      </w:r>
      <w:r w:rsidR="00D61612">
        <w:rPr>
          <w:lang w:val="de-CH" w:eastAsia="de-DE"/>
        </w:rPr>
        <w:t>richtet sich d</w:t>
      </w:r>
      <w:r w:rsidRPr="00756F54">
        <w:rPr>
          <w:lang w:val="de-CH" w:eastAsia="de-DE"/>
        </w:rPr>
        <w:t xml:space="preserve">as </w:t>
      </w:r>
      <w:r w:rsidR="001823AE">
        <w:rPr>
          <w:lang w:val="de-CH" w:eastAsia="de-DE"/>
        </w:rPr>
        <w:t>Hightech-U</w:t>
      </w:r>
      <w:r w:rsidRPr="00756F54">
        <w:rPr>
          <w:lang w:val="de-CH" w:eastAsia="de-DE"/>
        </w:rPr>
        <w:t xml:space="preserve">nternehmen konsequent auf drei wachstumsstarke </w:t>
      </w:r>
      <w:r w:rsidR="00E62A40">
        <w:rPr>
          <w:lang w:val="de-CH" w:eastAsia="de-DE"/>
        </w:rPr>
        <w:t>Anwendungsf</w:t>
      </w:r>
      <w:r w:rsidR="00E62A40" w:rsidRPr="00756F54">
        <w:rPr>
          <w:lang w:val="de-CH" w:eastAsia="de-DE"/>
        </w:rPr>
        <w:t xml:space="preserve">elder </w:t>
      </w:r>
      <w:r w:rsidRPr="00756F54">
        <w:rPr>
          <w:lang w:val="de-CH" w:eastAsia="de-DE"/>
        </w:rPr>
        <w:t xml:space="preserve">aus: </w:t>
      </w:r>
      <w:r w:rsidR="00E62A40">
        <w:rPr>
          <w:lang w:val="de-CH" w:eastAsia="de-DE"/>
        </w:rPr>
        <w:t xml:space="preserve">die </w:t>
      </w:r>
      <w:r w:rsidRPr="00756F54">
        <w:rPr>
          <w:lang w:val="de-CH" w:eastAsia="de-DE"/>
        </w:rPr>
        <w:t xml:space="preserve">Detektion von Leckagen kritischer Gase zur Erhöhung von Sicherheit und </w:t>
      </w:r>
      <w:r w:rsidR="00017762" w:rsidRPr="00017762">
        <w:rPr>
          <w:lang w:val="de-CH" w:eastAsia="de-DE"/>
        </w:rPr>
        <w:t>Einhaltung gesetzlicher Vorschriften</w:t>
      </w:r>
      <w:r w:rsidR="00A23DDE" w:rsidRPr="00E2517F">
        <w:rPr>
          <w:lang w:val="de-CH" w:eastAsia="de-DE"/>
        </w:rPr>
        <w:t>,</w:t>
      </w:r>
      <w:r w:rsidR="00791E76">
        <w:rPr>
          <w:lang w:val="de-CH" w:eastAsia="de-DE"/>
        </w:rPr>
        <w:t xml:space="preserve"> h</w:t>
      </w:r>
      <w:r w:rsidR="00791E76" w:rsidRPr="00791E76">
        <w:rPr>
          <w:lang w:val="de-CH" w:eastAsia="de-DE"/>
        </w:rPr>
        <w:t>ochentwickelte medizinische Sensorlösungen für Gesundheitsüberwachung, Atemgasanalyse und Diagnostik</w:t>
      </w:r>
      <w:r w:rsidRPr="00756F54">
        <w:rPr>
          <w:lang w:val="de-CH" w:eastAsia="de-DE"/>
        </w:rPr>
        <w:t xml:space="preserve"> sowie</w:t>
      </w:r>
      <w:r w:rsidR="00B74DC3">
        <w:rPr>
          <w:lang w:val="de-CH" w:eastAsia="de-DE"/>
        </w:rPr>
        <w:t xml:space="preserve"> </w:t>
      </w:r>
      <w:r w:rsidRPr="00756F54">
        <w:rPr>
          <w:lang w:val="de-CH" w:eastAsia="de-DE"/>
        </w:rPr>
        <w:t xml:space="preserve">industrielle Gasanalytik </w:t>
      </w:r>
      <w:r w:rsidR="006D7C2B" w:rsidRPr="00791E76">
        <w:rPr>
          <w:lang w:val="de-CH" w:eastAsia="de-DE"/>
        </w:rPr>
        <w:t>unter Einsatz hochentwickelter Gasdetektionstechnologien</w:t>
      </w:r>
      <w:r w:rsidRPr="00756F54">
        <w:rPr>
          <w:lang w:val="de-CH" w:eastAsia="de-DE"/>
        </w:rPr>
        <w:t xml:space="preserve">. </w:t>
      </w:r>
      <w:r w:rsidR="00F0122B">
        <w:rPr>
          <w:lang w:val="de-CH" w:eastAsia="de-DE"/>
        </w:rPr>
        <w:t>Parallel dazu</w:t>
      </w:r>
      <w:r w:rsidR="00F0122B" w:rsidRPr="00756F54">
        <w:rPr>
          <w:lang w:val="de-CH" w:eastAsia="de-DE"/>
        </w:rPr>
        <w:t xml:space="preserve"> </w:t>
      </w:r>
      <w:r w:rsidRPr="00756F54">
        <w:rPr>
          <w:lang w:val="de-CH" w:eastAsia="de-DE"/>
        </w:rPr>
        <w:t xml:space="preserve">stärkt Sensirion </w:t>
      </w:r>
      <w:r w:rsidR="00F0122B">
        <w:rPr>
          <w:lang w:val="de-CH" w:eastAsia="de-DE"/>
        </w:rPr>
        <w:t>systematisch ihre</w:t>
      </w:r>
      <w:r w:rsidR="00F0122B" w:rsidRPr="00756F54">
        <w:rPr>
          <w:lang w:val="de-CH" w:eastAsia="de-DE"/>
        </w:rPr>
        <w:t xml:space="preserve"> </w:t>
      </w:r>
      <w:r w:rsidRPr="00756F54">
        <w:rPr>
          <w:lang w:val="de-CH" w:eastAsia="de-DE"/>
        </w:rPr>
        <w:t>Resilienz entlang der gesamten Wertschöpfungskette</w:t>
      </w:r>
      <w:r w:rsidR="001823AE">
        <w:rPr>
          <w:lang w:val="de-CH" w:eastAsia="de-DE"/>
        </w:rPr>
        <w:t>.</w:t>
      </w:r>
    </w:p>
    <w:p w14:paraId="3B3B322C" w14:textId="77777777" w:rsidR="008A7FD8" w:rsidRDefault="008A7FD8" w:rsidP="00583472">
      <w:pPr>
        <w:rPr>
          <w:lang w:val="de-CH" w:eastAsia="de-DE"/>
        </w:rPr>
      </w:pPr>
    </w:p>
    <w:p w14:paraId="6900A45D" w14:textId="77777777" w:rsidR="00E3703F" w:rsidRDefault="00283083" w:rsidP="00A7509F">
      <w:pPr>
        <w:rPr>
          <w:lang w:val="de-CH" w:eastAsia="de-DE"/>
        </w:rPr>
      </w:pPr>
      <w:r>
        <w:rPr>
          <w:lang w:val="de-CH" w:eastAsia="de-DE"/>
        </w:rPr>
        <w:t xml:space="preserve">Sensirion </w:t>
      </w:r>
      <w:r w:rsidR="00911962">
        <w:rPr>
          <w:lang w:val="de-CH" w:eastAsia="de-DE"/>
        </w:rPr>
        <w:t xml:space="preserve">adressiert mit ihren Lösungen </w:t>
      </w:r>
      <w:r w:rsidR="006F7571">
        <w:rPr>
          <w:lang w:val="de-CH" w:eastAsia="de-DE"/>
        </w:rPr>
        <w:t xml:space="preserve">in den nächsten Jahren </w:t>
      </w:r>
      <w:r w:rsidR="00911962">
        <w:rPr>
          <w:lang w:val="de-CH" w:eastAsia="de-DE"/>
        </w:rPr>
        <w:t>mehr als ze</w:t>
      </w:r>
      <w:r w:rsidR="007735E7">
        <w:rPr>
          <w:lang w:val="de-CH" w:eastAsia="de-DE"/>
        </w:rPr>
        <w:t>hn strategische Wachstumsbereiche</w:t>
      </w:r>
      <w:r w:rsidR="006468F1">
        <w:rPr>
          <w:lang w:val="de-CH" w:eastAsia="de-DE"/>
        </w:rPr>
        <w:t>, breit diversifiziert</w:t>
      </w:r>
      <w:r w:rsidR="00455308">
        <w:rPr>
          <w:lang w:val="de-CH" w:eastAsia="de-DE"/>
        </w:rPr>
        <w:t xml:space="preserve"> </w:t>
      </w:r>
      <w:r w:rsidR="005C6AAD">
        <w:rPr>
          <w:lang w:val="de-CH" w:eastAsia="de-DE"/>
        </w:rPr>
        <w:t xml:space="preserve">über </w:t>
      </w:r>
      <w:r w:rsidR="007735E7">
        <w:rPr>
          <w:lang w:val="de-CH" w:eastAsia="de-DE"/>
        </w:rPr>
        <w:t xml:space="preserve">alle vier </w:t>
      </w:r>
      <w:r w:rsidR="00A23DDE" w:rsidRPr="00E2517F">
        <w:rPr>
          <w:lang w:val="de-CH" w:eastAsia="de-DE"/>
        </w:rPr>
        <w:t>Endmärkte. Anlässlich des Investorentages werden exemplarisch vier Wachstums-Hotspots in den Bereichen Medizintechnik, HLK-Industrie (</w:t>
      </w:r>
      <w:r w:rsidR="00A23DDE" w:rsidRPr="00E2517F">
        <w:rPr>
          <w:rFonts w:cstheme="minorHAnsi"/>
          <w:lang w:val="de-CH" w:eastAsia="de-DE"/>
        </w:rPr>
        <w:t>Heizung, Lüftung, Klimatisierung)</w:t>
      </w:r>
      <w:r w:rsidR="00A23DDE" w:rsidRPr="00E2517F">
        <w:rPr>
          <w:lang w:val="de-CH" w:eastAsia="de-DE"/>
        </w:rPr>
        <w:t xml:space="preserve">, Automobilindustrie und Connected Solutions im Detail vorgestellt. Diese adressieren jeweils attraktive, strukturell wachsende Teilmärkte mit signifikantem Wachstums- </w:t>
      </w:r>
      <w:r w:rsidR="002872C3">
        <w:rPr>
          <w:lang w:val="de-CH" w:eastAsia="de-DE"/>
        </w:rPr>
        <w:t xml:space="preserve">und </w:t>
      </w:r>
      <w:r w:rsidR="00CB1C07" w:rsidRPr="00CB1C07">
        <w:rPr>
          <w:lang w:val="de-CH" w:eastAsia="de-DE"/>
        </w:rPr>
        <w:t>Wertschöpfungspotenzial.</w:t>
      </w:r>
    </w:p>
    <w:p w14:paraId="58AE7094" w14:textId="77777777" w:rsidR="00F50C03" w:rsidRDefault="00F50C03" w:rsidP="00A7509F">
      <w:pPr>
        <w:rPr>
          <w:lang w:val="de-CH" w:eastAsia="de-DE"/>
        </w:rPr>
      </w:pPr>
    </w:p>
    <w:p w14:paraId="3721D414" w14:textId="77777777" w:rsidR="00A23DDE" w:rsidRPr="00E2517F" w:rsidRDefault="00A23DDE" w:rsidP="00A23DDE">
      <w:pPr>
        <w:rPr>
          <w:lang w:val="de-CH" w:eastAsia="de-DE"/>
        </w:rPr>
      </w:pPr>
      <w:r w:rsidRPr="00E2517F">
        <w:rPr>
          <w:lang w:val="de-CH" w:eastAsia="de-DE"/>
        </w:rPr>
        <w:t>Im Sinne der Transparenz und Kapitalmarkteffizienz kommuniziert Sensirion erstmals ihren Return on Invested Capital (ROIC): Der</w:t>
      </w:r>
      <w:r w:rsidRPr="00384A75">
        <w:rPr>
          <w:lang w:val="de-CH" w:eastAsia="de-DE"/>
        </w:rPr>
        <w:t xml:space="preserve"> seit dem Börsengang erzielte,</w:t>
      </w:r>
      <w:r w:rsidRPr="00E2517F">
        <w:rPr>
          <w:lang w:val="de-CH" w:eastAsia="de-DE"/>
        </w:rPr>
        <w:t xml:space="preserve"> gemittelte ROIC belief sich auf rund 17 % und unterstreicht die nachhaltige Wertschöpfung und disziplinierte Kapitalallokation des Unternehmens.</w:t>
      </w:r>
    </w:p>
    <w:p w14:paraId="27D1D5D7" w14:textId="77777777" w:rsidR="00FB2354" w:rsidRDefault="00FB2354" w:rsidP="00583472">
      <w:pPr>
        <w:rPr>
          <w:rFonts w:asciiTheme="majorHAnsi" w:hAnsiTheme="majorHAnsi" w:cstheme="majorHAnsi"/>
          <w:lang w:val="de-CH" w:eastAsia="de-DE"/>
        </w:rPr>
      </w:pPr>
    </w:p>
    <w:p w14:paraId="38055307" w14:textId="77777777" w:rsidR="00483E36" w:rsidRPr="00483E36" w:rsidRDefault="00483E36" w:rsidP="00483E36">
      <w:pPr>
        <w:rPr>
          <w:rFonts w:asciiTheme="majorHAnsi" w:hAnsiTheme="majorHAnsi" w:cstheme="majorHAnsi"/>
          <w:lang w:val="de-CH" w:eastAsia="de-DE"/>
        </w:rPr>
      </w:pPr>
      <w:r w:rsidRPr="00483E36">
        <w:rPr>
          <w:rFonts w:asciiTheme="majorHAnsi" w:hAnsiTheme="majorHAnsi" w:cstheme="majorHAnsi"/>
          <w:lang w:val="de-CH" w:eastAsia="de-DE"/>
        </w:rPr>
        <w:t xml:space="preserve">Mittelfristiger Ausblick </w:t>
      </w:r>
      <w:r w:rsidR="00455308">
        <w:rPr>
          <w:rFonts w:asciiTheme="majorHAnsi" w:hAnsiTheme="majorHAnsi" w:cstheme="majorHAnsi"/>
          <w:lang w:val="de-CH" w:eastAsia="de-DE"/>
        </w:rPr>
        <w:t>bestätigt</w:t>
      </w:r>
    </w:p>
    <w:p w14:paraId="3F4EF6AE" w14:textId="77777777" w:rsidR="00483E36" w:rsidRPr="00483E36" w:rsidRDefault="00492CA2" w:rsidP="00483E36">
      <w:pPr>
        <w:rPr>
          <w:rFonts w:cstheme="minorHAnsi"/>
          <w:lang w:val="de-CH" w:eastAsia="de-DE"/>
        </w:rPr>
      </w:pPr>
      <w:r>
        <w:rPr>
          <w:rFonts w:cstheme="minorHAnsi"/>
          <w:lang w:val="de-CH" w:eastAsia="de-DE"/>
        </w:rPr>
        <w:t xml:space="preserve">Auf Basis dieser konkreten Wachstumsfelder bestätigt </w:t>
      </w:r>
      <w:r w:rsidR="00A75971">
        <w:rPr>
          <w:rFonts w:cstheme="minorHAnsi"/>
          <w:lang w:val="de-CH" w:eastAsia="de-DE"/>
        </w:rPr>
        <w:t>Sensirion ihre Mittelfrist-Gui</w:t>
      </w:r>
      <w:r w:rsidR="004D6B43">
        <w:rPr>
          <w:rFonts w:cstheme="minorHAnsi"/>
          <w:lang w:val="de-CH" w:eastAsia="de-DE"/>
        </w:rPr>
        <w:t>d</w:t>
      </w:r>
      <w:r w:rsidR="00A75971">
        <w:rPr>
          <w:rFonts w:cstheme="minorHAnsi"/>
          <w:lang w:val="de-CH" w:eastAsia="de-DE"/>
        </w:rPr>
        <w:t xml:space="preserve">ance: </w:t>
      </w:r>
      <w:r w:rsidR="004D6B43">
        <w:rPr>
          <w:rFonts w:cstheme="minorHAnsi"/>
          <w:lang w:val="de-CH" w:eastAsia="de-DE"/>
        </w:rPr>
        <w:t>U</w:t>
      </w:r>
      <w:r w:rsidR="004D6B43" w:rsidRPr="00483E36">
        <w:rPr>
          <w:rFonts w:cstheme="minorHAnsi"/>
          <w:lang w:val="de-CH" w:eastAsia="de-DE"/>
        </w:rPr>
        <w:t>nter Annahme gleichbleibender Fremdwährungskurse</w:t>
      </w:r>
      <w:r w:rsidR="004D6B43">
        <w:rPr>
          <w:rFonts w:cstheme="minorHAnsi"/>
          <w:lang w:val="de-CH" w:eastAsia="de-DE"/>
        </w:rPr>
        <w:t xml:space="preserve"> erwartet das Unternehmen</w:t>
      </w:r>
      <w:r w:rsidR="004D6B43" w:rsidRPr="00483E36">
        <w:rPr>
          <w:rFonts w:cstheme="minorHAnsi"/>
          <w:lang w:val="de-CH" w:eastAsia="de-DE"/>
        </w:rPr>
        <w:t xml:space="preserve"> </w:t>
      </w:r>
      <w:r w:rsidR="00483E36" w:rsidRPr="00483E36">
        <w:rPr>
          <w:rFonts w:cstheme="minorHAnsi"/>
          <w:lang w:val="de-CH" w:eastAsia="de-DE"/>
        </w:rPr>
        <w:t xml:space="preserve">über </w:t>
      </w:r>
      <w:r w:rsidR="004D6B43">
        <w:rPr>
          <w:rFonts w:cstheme="minorHAnsi"/>
          <w:lang w:val="de-CH" w:eastAsia="de-DE"/>
        </w:rPr>
        <w:t xml:space="preserve">die </w:t>
      </w:r>
      <w:r w:rsidR="00483E36" w:rsidRPr="00483E36" w:rsidDel="004D6B43">
        <w:rPr>
          <w:rFonts w:cstheme="minorHAnsi"/>
          <w:lang w:val="de-CH" w:eastAsia="de-DE"/>
        </w:rPr>
        <w:t xml:space="preserve">nächsten </w:t>
      </w:r>
      <w:r w:rsidR="00AC5C27">
        <w:rPr>
          <w:rFonts w:cstheme="minorHAnsi"/>
          <w:lang w:val="de-CH" w:eastAsia="de-DE"/>
        </w:rPr>
        <w:t>vier bis sechs</w:t>
      </w:r>
      <w:r w:rsidR="00483E36" w:rsidRPr="00483E36">
        <w:rPr>
          <w:rFonts w:cstheme="minorHAnsi"/>
          <w:lang w:val="de-CH" w:eastAsia="de-DE"/>
        </w:rPr>
        <w:t xml:space="preserve"> Jahre</w:t>
      </w:r>
      <w:r w:rsidR="00483E36" w:rsidRPr="00483E36" w:rsidDel="00AC5C27">
        <w:rPr>
          <w:rFonts w:cstheme="minorHAnsi"/>
          <w:lang w:val="de-CH" w:eastAsia="de-DE"/>
        </w:rPr>
        <w:t xml:space="preserve"> </w:t>
      </w:r>
      <w:r w:rsidR="00AC5C27">
        <w:rPr>
          <w:rFonts w:cstheme="minorHAnsi"/>
          <w:lang w:val="de-CH" w:eastAsia="de-DE"/>
        </w:rPr>
        <w:t>weiterhin</w:t>
      </w:r>
      <w:r w:rsidR="00AC5C27" w:rsidRPr="00483E36">
        <w:rPr>
          <w:rFonts w:cstheme="minorHAnsi"/>
          <w:lang w:val="de-CH" w:eastAsia="de-DE"/>
        </w:rPr>
        <w:t xml:space="preserve"> </w:t>
      </w:r>
      <w:r w:rsidR="00483E36" w:rsidRPr="00483E36">
        <w:rPr>
          <w:rFonts w:cstheme="minorHAnsi"/>
          <w:lang w:val="de-CH" w:eastAsia="de-DE"/>
        </w:rPr>
        <w:t>ein mittleres jährliches Umsatzwachstum im niedrigen bis mittleren Zehner-Prozentbereich und eine gemittelte EBITDA-Marge im mittleren bis hohen Zehner-Prozentbereich.</w:t>
      </w:r>
    </w:p>
    <w:p w14:paraId="6A2B32DA" w14:textId="77777777" w:rsidR="00483E36" w:rsidRDefault="00483E36" w:rsidP="00583472">
      <w:pPr>
        <w:rPr>
          <w:rFonts w:asciiTheme="majorHAnsi" w:hAnsiTheme="majorHAnsi" w:cstheme="majorHAnsi"/>
          <w:lang w:val="de-CH" w:eastAsia="de-DE"/>
        </w:rPr>
      </w:pPr>
    </w:p>
    <w:p w14:paraId="6AD5DF48" w14:textId="2BF20706" w:rsidR="00895B3D" w:rsidRPr="00895B3D" w:rsidRDefault="00895B3D" w:rsidP="00583472">
      <w:pPr>
        <w:rPr>
          <w:rFonts w:asciiTheme="majorHAnsi" w:hAnsiTheme="majorHAnsi" w:cstheme="majorHAnsi"/>
          <w:lang w:val="de-CH" w:eastAsia="de-DE"/>
        </w:rPr>
      </w:pPr>
      <w:r w:rsidRPr="00895B3D">
        <w:rPr>
          <w:rFonts w:asciiTheme="majorHAnsi" w:hAnsiTheme="majorHAnsi" w:cstheme="majorHAnsi"/>
          <w:lang w:val="de-CH" w:eastAsia="de-DE"/>
        </w:rPr>
        <w:t xml:space="preserve">Investorentag </w:t>
      </w:r>
      <w:r w:rsidR="00680757">
        <w:rPr>
          <w:rFonts w:asciiTheme="majorHAnsi" w:hAnsiTheme="majorHAnsi" w:cstheme="majorHAnsi"/>
          <w:lang w:val="de-CH" w:eastAsia="de-DE"/>
        </w:rPr>
        <w:t xml:space="preserve">und </w:t>
      </w:r>
      <w:r w:rsidR="004E6A1F">
        <w:rPr>
          <w:rFonts w:asciiTheme="majorHAnsi" w:hAnsiTheme="majorHAnsi" w:cstheme="majorHAnsi"/>
          <w:lang w:val="de-CH" w:eastAsia="de-DE"/>
        </w:rPr>
        <w:t>Dokumentation</w:t>
      </w:r>
    </w:p>
    <w:p w14:paraId="7734699D" w14:textId="152BC70A" w:rsidR="00895B3D" w:rsidRDefault="00895B3D" w:rsidP="00895B3D">
      <w:pPr>
        <w:rPr>
          <w:lang w:val="de-CH" w:eastAsia="de-DE"/>
        </w:rPr>
      </w:pPr>
      <w:r w:rsidRPr="00895B3D">
        <w:rPr>
          <w:lang w:val="de-CH" w:eastAsia="de-DE"/>
        </w:rPr>
        <w:t>Die Veranstaltung beginnt um 1</w:t>
      </w:r>
      <w:r w:rsidR="00F36C5E">
        <w:rPr>
          <w:lang w:val="de-CH" w:eastAsia="de-DE"/>
        </w:rPr>
        <w:t>0</w:t>
      </w:r>
      <w:r w:rsidRPr="00895B3D">
        <w:rPr>
          <w:lang w:val="de-CH" w:eastAsia="de-DE"/>
        </w:rPr>
        <w:t>:00 Uhr ME</w:t>
      </w:r>
      <w:r w:rsidR="00805EAE">
        <w:rPr>
          <w:lang w:val="de-CH" w:eastAsia="de-DE"/>
        </w:rPr>
        <w:t>S</w:t>
      </w:r>
      <w:r w:rsidRPr="00895B3D">
        <w:rPr>
          <w:lang w:val="de-CH" w:eastAsia="de-DE"/>
        </w:rPr>
        <w:t xml:space="preserve">Z am Hauptsitz in Stäfa und wird gleichzeitig remote übertragen: </w:t>
      </w:r>
      <w:r w:rsidR="00DB0410">
        <w:fldChar w:fldCharType="begin"/>
      </w:r>
      <w:r w:rsidR="00DB0410" w:rsidRPr="00A23DDE">
        <w:rPr>
          <w:lang w:val="de-CH"/>
          <w:rPrChange w:id="0" w:author="Barbara Thurnherr" w:date="2026-04-13T16:10:00Z" w16du:dateUtc="2026-04-13T14:10:00Z">
            <w:rPr/>
          </w:rPrChange>
        </w:rPr>
        <w:instrText>HYPERLINK "https://attendee.gotowebinar.com/register/5505523454330999893?source=pr"</w:instrText>
      </w:r>
      <w:r w:rsidR="00DB0410">
        <w:fldChar w:fldCharType="separate"/>
      </w:r>
      <w:r w:rsidR="00DB0410" w:rsidRPr="00487029">
        <w:rPr>
          <w:rStyle w:val="Hyperlink"/>
          <w:lang w:val="de-CH" w:eastAsia="de-DE"/>
        </w:rPr>
        <w:t>https://attendee.gotowebinar.com/register/5505523454330999893?source=pr</w:t>
      </w:r>
      <w:r w:rsidR="00DB0410">
        <w:fldChar w:fldCharType="end"/>
      </w:r>
      <w:r w:rsidR="00DB0410">
        <w:rPr>
          <w:lang w:val="de-CH" w:eastAsia="de-DE"/>
        </w:rPr>
        <w:t xml:space="preserve"> </w:t>
      </w:r>
    </w:p>
    <w:p w14:paraId="1B0184A4" w14:textId="77777777" w:rsidR="008420CA" w:rsidRDefault="008420CA" w:rsidP="006D20D7">
      <w:pPr>
        <w:rPr>
          <w:lang w:val="de-CH" w:eastAsia="de-DE"/>
        </w:rPr>
      </w:pPr>
    </w:p>
    <w:p w14:paraId="6851D1B9" w14:textId="14C314CC" w:rsidR="006D20D7" w:rsidRDefault="006D20D7" w:rsidP="006D20D7">
      <w:pPr>
        <w:rPr>
          <w:lang w:val="de-CH" w:eastAsia="de-DE"/>
        </w:rPr>
      </w:pPr>
      <w:r w:rsidRPr="00A7509F">
        <w:rPr>
          <w:lang w:val="de-CH" w:eastAsia="de-DE"/>
        </w:rPr>
        <w:t xml:space="preserve">Die Präsentation </w:t>
      </w:r>
      <w:r>
        <w:rPr>
          <w:lang w:val="de-CH" w:eastAsia="de-DE"/>
        </w:rPr>
        <w:t xml:space="preserve">zum Investorentag </w:t>
      </w:r>
      <w:r w:rsidRPr="00A7509F">
        <w:rPr>
          <w:lang w:val="de-CH" w:eastAsia="de-DE"/>
        </w:rPr>
        <w:t xml:space="preserve">wird am </w:t>
      </w:r>
      <w:r>
        <w:rPr>
          <w:lang w:val="de-CH" w:eastAsia="de-DE"/>
        </w:rPr>
        <w:t>14. April 2026</w:t>
      </w:r>
      <w:r w:rsidRPr="00A7509F">
        <w:rPr>
          <w:lang w:val="de-CH" w:eastAsia="de-DE"/>
        </w:rPr>
        <w:t xml:space="preserve"> ab etwa </w:t>
      </w:r>
      <w:r>
        <w:rPr>
          <w:lang w:val="de-CH" w:eastAsia="de-DE"/>
        </w:rPr>
        <w:t>6</w:t>
      </w:r>
      <w:r w:rsidRPr="00A7509F">
        <w:rPr>
          <w:lang w:val="de-CH" w:eastAsia="de-DE"/>
        </w:rPr>
        <w:t>:</w:t>
      </w:r>
      <w:r>
        <w:rPr>
          <w:lang w:val="de-CH" w:eastAsia="de-DE"/>
        </w:rPr>
        <w:t>3</w:t>
      </w:r>
      <w:r w:rsidRPr="00A7509F">
        <w:rPr>
          <w:lang w:val="de-CH" w:eastAsia="de-DE"/>
        </w:rPr>
        <w:t>0 Uhr ME</w:t>
      </w:r>
      <w:r w:rsidR="00805EAE">
        <w:rPr>
          <w:lang w:val="de-CH" w:eastAsia="de-DE"/>
        </w:rPr>
        <w:t>S</w:t>
      </w:r>
      <w:r w:rsidRPr="00A7509F">
        <w:rPr>
          <w:lang w:val="de-CH" w:eastAsia="de-DE"/>
        </w:rPr>
        <w:t xml:space="preserve">Z unter </w:t>
      </w:r>
      <w:r>
        <w:fldChar w:fldCharType="begin"/>
      </w:r>
      <w:r w:rsidRPr="00A23DDE">
        <w:rPr>
          <w:lang w:val="de-CH"/>
          <w:rPrChange w:id="1" w:author="Barbara Thurnherr" w:date="2026-04-13T16:10:00Z" w16du:dateUtc="2026-04-13T14:10:00Z">
            <w:rPr/>
          </w:rPrChange>
        </w:rPr>
        <w:instrText>HYPERLINK "https://sensirion.com/company/investor-relations"</w:instrText>
      </w:r>
      <w:r>
        <w:fldChar w:fldCharType="separate"/>
      </w:r>
      <w:r w:rsidRPr="00487029">
        <w:rPr>
          <w:rStyle w:val="Hyperlink"/>
          <w:lang w:val="de-CH" w:eastAsia="de-DE"/>
        </w:rPr>
        <w:t>https://sensirion.com/company/investor-relations</w:t>
      </w:r>
      <w:r>
        <w:fldChar w:fldCharType="end"/>
      </w:r>
      <w:r>
        <w:rPr>
          <w:lang w:val="de-CH" w:eastAsia="de-DE"/>
        </w:rPr>
        <w:t xml:space="preserve"> </w:t>
      </w:r>
      <w:r w:rsidRPr="00A7509F">
        <w:rPr>
          <w:lang w:val="de-CH" w:eastAsia="de-DE"/>
        </w:rPr>
        <w:t>verfügbar sein.</w:t>
      </w:r>
    </w:p>
    <w:p w14:paraId="485C3E56" w14:textId="77777777" w:rsidR="006D20D7" w:rsidRDefault="006D20D7" w:rsidP="00895B3D">
      <w:pPr>
        <w:rPr>
          <w:lang w:val="de-CH" w:eastAsia="de-DE"/>
        </w:rPr>
      </w:pPr>
    </w:p>
    <w:p w14:paraId="1CF474CE" w14:textId="77777777" w:rsidR="00DB0410" w:rsidRPr="00895B3D" w:rsidRDefault="00DB0410" w:rsidP="00895B3D">
      <w:pPr>
        <w:rPr>
          <w:lang w:val="de-CH" w:eastAsia="de-DE"/>
        </w:rPr>
      </w:pPr>
    </w:p>
    <w:p w14:paraId="10DFF6BC" w14:textId="338755A7" w:rsidR="00EB7B11" w:rsidRPr="006352DD" w:rsidRDefault="002B665F" w:rsidP="00EB7B11">
      <w:pPr>
        <w:pBdr>
          <w:bottom w:val="single" w:sz="6" w:space="1" w:color="auto"/>
        </w:pBdr>
        <w:rPr>
          <w:rFonts w:asciiTheme="majorHAnsi" w:hAnsiTheme="majorHAnsi" w:cstheme="majorHAnsi"/>
          <w:lang w:val="de-CH" w:eastAsia="de-DE"/>
        </w:rPr>
      </w:pPr>
      <w:r w:rsidRPr="006352DD">
        <w:rPr>
          <w:rFonts w:asciiTheme="majorHAnsi" w:hAnsiTheme="majorHAnsi" w:cstheme="majorHAnsi"/>
          <w:lang w:val="de-CH" w:eastAsia="de-DE"/>
        </w:rPr>
        <w:lastRenderedPageBreak/>
        <w:t>Finanzkalender</w:t>
      </w:r>
      <w:r w:rsidR="006352DD" w:rsidRPr="006352DD">
        <w:rPr>
          <w:rFonts w:asciiTheme="majorHAnsi" w:hAnsiTheme="majorHAnsi" w:cstheme="majorHAnsi"/>
          <w:lang w:val="de-CH" w:eastAsia="de-DE"/>
        </w:rPr>
        <w:t>:</w:t>
      </w:r>
    </w:p>
    <w:p w14:paraId="2F9603F2" w14:textId="244217C8" w:rsidR="00EB7B11" w:rsidRDefault="00EB7B11" w:rsidP="00EB7B11">
      <w:pPr>
        <w:pBdr>
          <w:bottom w:val="single" w:sz="6" w:space="1" w:color="auto"/>
        </w:pBdr>
        <w:rPr>
          <w:lang w:val="de-CH" w:eastAsia="de-DE"/>
        </w:rPr>
      </w:pPr>
      <w:r w:rsidRPr="00EB7B11">
        <w:rPr>
          <w:lang w:val="de-CH" w:eastAsia="de-DE"/>
        </w:rPr>
        <w:t>1</w:t>
      </w:r>
      <w:r w:rsidR="002B665F">
        <w:rPr>
          <w:lang w:val="de-CH" w:eastAsia="de-DE"/>
        </w:rPr>
        <w:t>1</w:t>
      </w:r>
      <w:r w:rsidRPr="00EB7B11">
        <w:rPr>
          <w:lang w:val="de-CH" w:eastAsia="de-DE"/>
        </w:rPr>
        <w:t>. Mai 202</w:t>
      </w:r>
      <w:r w:rsidR="002B665F">
        <w:rPr>
          <w:lang w:val="de-CH" w:eastAsia="de-DE"/>
        </w:rPr>
        <w:t xml:space="preserve">6: </w:t>
      </w:r>
      <w:r w:rsidRPr="00EB7B11">
        <w:rPr>
          <w:lang w:val="de-CH" w:eastAsia="de-DE"/>
        </w:rPr>
        <w:t>Generalversammlung</w:t>
      </w:r>
    </w:p>
    <w:p w14:paraId="406E762C" w14:textId="3B078614" w:rsidR="002B665F" w:rsidRPr="00EB7B11" w:rsidRDefault="006352DD" w:rsidP="00EB7B11">
      <w:pPr>
        <w:pBdr>
          <w:bottom w:val="single" w:sz="6" w:space="1" w:color="auto"/>
        </w:pBdr>
        <w:rPr>
          <w:lang w:val="de-CH" w:eastAsia="de-DE"/>
        </w:rPr>
      </w:pPr>
      <w:r w:rsidRPr="006352DD">
        <w:rPr>
          <w:lang w:val="de-CH" w:eastAsia="de-DE"/>
        </w:rPr>
        <w:t>19. August 2026: Veröffentlichung Halbjahresbericht 2026</w:t>
      </w:r>
    </w:p>
    <w:p w14:paraId="78C3C8B6" w14:textId="756A67F8" w:rsidR="00EB7B11" w:rsidRPr="00EB7B11" w:rsidRDefault="00EB7B11" w:rsidP="00EB7B11">
      <w:pPr>
        <w:pBdr>
          <w:bottom w:val="single" w:sz="6" w:space="1" w:color="auto"/>
        </w:pBdr>
        <w:rPr>
          <w:lang w:val="de-CH" w:eastAsia="de-DE"/>
        </w:rPr>
      </w:pPr>
    </w:p>
    <w:p w14:paraId="67A86011" w14:textId="25D05848" w:rsidR="00EB7B11" w:rsidRPr="002B665F" w:rsidRDefault="00EB7B11" w:rsidP="00EB7B11">
      <w:pPr>
        <w:pBdr>
          <w:bottom w:val="single" w:sz="6" w:space="1" w:color="auto"/>
        </w:pBdr>
        <w:rPr>
          <w:rFonts w:asciiTheme="majorHAnsi" w:hAnsiTheme="majorHAnsi" w:cstheme="majorHAnsi"/>
          <w:lang w:val="de-CH" w:eastAsia="de-DE"/>
        </w:rPr>
      </w:pPr>
      <w:r w:rsidRPr="002B665F">
        <w:rPr>
          <w:rFonts w:asciiTheme="majorHAnsi" w:hAnsiTheme="majorHAnsi" w:cstheme="majorHAnsi"/>
          <w:lang w:val="de-CH" w:eastAsia="de-DE"/>
        </w:rPr>
        <w:t>Kontakt</w:t>
      </w:r>
      <w:r w:rsidR="002B665F" w:rsidRPr="002B665F">
        <w:rPr>
          <w:rFonts w:asciiTheme="majorHAnsi" w:hAnsiTheme="majorHAnsi" w:cstheme="majorHAnsi"/>
          <w:lang w:val="de-CH" w:eastAsia="de-DE"/>
        </w:rPr>
        <w:t>:</w:t>
      </w:r>
      <w:r w:rsidRPr="002B665F">
        <w:rPr>
          <w:rFonts w:asciiTheme="majorHAnsi" w:hAnsiTheme="majorHAnsi" w:cstheme="majorHAnsi"/>
          <w:lang w:val="de-CH" w:eastAsia="de-DE"/>
        </w:rPr>
        <w:t xml:space="preserve"> </w:t>
      </w:r>
    </w:p>
    <w:p w14:paraId="417A6D6D" w14:textId="77777777" w:rsidR="00EB7B11" w:rsidRPr="00EB7B11" w:rsidRDefault="00EB7B11" w:rsidP="00EB7B11">
      <w:pPr>
        <w:pBdr>
          <w:bottom w:val="single" w:sz="6" w:space="1" w:color="auto"/>
        </w:pBdr>
        <w:rPr>
          <w:lang w:val="de-CH" w:eastAsia="de-DE"/>
        </w:rPr>
      </w:pPr>
      <w:r w:rsidRPr="00EB7B11">
        <w:rPr>
          <w:lang w:val="de-CH" w:eastAsia="de-DE"/>
        </w:rPr>
        <w:t xml:space="preserve">Investor Relations </w:t>
      </w:r>
    </w:p>
    <w:p w14:paraId="10C4D51A" w14:textId="77777777" w:rsidR="00EB7B11" w:rsidRPr="00EB7B11" w:rsidRDefault="00EB7B11" w:rsidP="00EB7B11">
      <w:pPr>
        <w:pBdr>
          <w:bottom w:val="single" w:sz="6" w:space="1" w:color="auto"/>
        </w:pBdr>
        <w:rPr>
          <w:lang w:val="de-CH" w:eastAsia="de-DE"/>
        </w:rPr>
      </w:pPr>
      <w:r w:rsidRPr="00EB7B11">
        <w:rPr>
          <w:lang w:val="de-CH" w:eastAsia="de-DE"/>
        </w:rPr>
        <w:t xml:space="preserve">Lars Dünnhaupt </w:t>
      </w:r>
    </w:p>
    <w:p w14:paraId="6A300C80" w14:textId="77777777" w:rsidR="00EB7B11" w:rsidRPr="00EB7B11" w:rsidRDefault="00EB7B11" w:rsidP="00EB7B11">
      <w:pPr>
        <w:pBdr>
          <w:bottom w:val="single" w:sz="6" w:space="1" w:color="auto"/>
        </w:pBdr>
        <w:rPr>
          <w:lang w:val="de-CH" w:eastAsia="de-DE"/>
        </w:rPr>
      </w:pPr>
      <w:r w:rsidRPr="00EB7B11">
        <w:rPr>
          <w:lang w:val="de-CH" w:eastAsia="de-DE"/>
        </w:rPr>
        <w:t xml:space="preserve">Director Investor Relations </w:t>
      </w:r>
    </w:p>
    <w:p w14:paraId="505C8455" w14:textId="77777777" w:rsidR="00EB7B11" w:rsidRPr="00EB7B11" w:rsidRDefault="00EB7B11" w:rsidP="00EB7B11">
      <w:pPr>
        <w:pBdr>
          <w:bottom w:val="single" w:sz="6" w:space="1" w:color="auto"/>
        </w:pBdr>
        <w:rPr>
          <w:lang w:val="de-CH" w:eastAsia="de-DE"/>
        </w:rPr>
      </w:pPr>
      <w:r w:rsidRPr="00EB7B11">
        <w:rPr>
          <w:lang w:val="de-CH" w:eastAsia="de-DE"/>
        </w:rPr>
        <w:t xml:space="preserve">Telefon: +41 44 306 40 00 </w:t>
      </w:r>
    </w:p>
    <w:p w14:paraId="2DBF63D1" w14:textId="0A40CBFF" w:rsidR="00EB7B11" w:rsidRDefault="00EB7B11" w:rsidP="00EB7B11">
      <w:pPr>
        <w:pBdr>
          <w:bottom w:val="single" w:sz="6" w:space="1" w:color="auto"/>
        </w:pBdr>
        <w:rPr>
          <w:lang w:val="de-CH" w:eastAsia="de-DE"/>
        </w:rPr>
      </w:pPr>
      <w:r w:rsidRPr="00EB7B11">
        <w:rPr>
          <w:lang w:val="de-CH" w:eastAsia="de-DE"/>
        </w:rPr>
        <w:t xml:space="preserve">E-Mail: </w:t>
      </w:r>
      <w:r w:rsidR="002B665F">
        <w:fldChar w:fldCharType="begin"/>
      </w:r>
      <w:r w:rsidR="002B665F" w:rsidRPr="00A23DDE">
        <w:rPr>
          <w:lang w:val="de-CH"/>
          <w:rPrChange w:id="2" w:author="Barbara Thurnherr" w:date="2026-04-13T16:10:00Z" w16du:dateUtc="2026-04-13T14:10:00Z">
            <w:rPr/>
          </w:rPrChange>
        </w:rPr>
        <w:instrText>HYPERLINK "mailto:lars.duennhaupt@sensirion.com"</w:instrText>
      </w:r>
      <w:r w:rsidR="002B665F">
        <w:fldChar w:fldCharType="separate"/>
      </w:r>
      <w:r w:rsidR="002B665F" w:rsidRPr="002F374C">
        <w:rPr>
          <w:rStyle w:val="Hyperlink"/>
          <w:lang w:val="de-CH" w:eastAsia="de-DE"/>
        </w:rPr>
        <w:t>lars.duennhaupt@sensirion.com</w:t>
      </w:r>
      <w:r w:rsidR="002B665F">
        <w:fldChar w:fldCharType="end"/>
      </w:r>
    </w:p>
    <w:p w14:paraId="1E269BB5" w14:textId="77777777" w:rsidR="002B665F" w:rsidRDefault="002B665F" w:rsidP="00EB7B11">
      <w:pPr>
        <w:pBdr>
          <w:bottom w:val="single" w:sz="6" w:space="1" w:color="auto"/>
        </w:pBdr>
        <w:rPr>
          <w:lang w:val="de-CH" w:eastAsia="de-DE"/>
        </w:rPr>
      </w:pPr>
    </w:p>
    <w:p w14:paraId="2DC18CF7" w14:textId="77777777" w:rsidR="008B1F95" w:rsidRDefault="008B1F95" w:rsidP="00122B51">
      <w:pPr>
        <w:pBdr>
          <w:bottom w:val="single" w:sz="6" w:space="1" w:color="auto"/>
        </w:pBdr>
        <w:rPr>
          <w:lang w:val="de-CH" w:eastAsia="de-DE"/>
        </w:rPr>
      </w:pPr>
    </w:p>
    <w:p w14:paraId="75499C1F" w14:textId="77777777" w:rsidR="00122B51" w:rsidRPr="00122B51" w:rsidRDefault="00122B51" w:rsidP="00122B51">
      <w:pPr>
        <w:rPr>
          <w:lang w:val="de-CH" w:eastAsia="de-DE"/>
        </w:rPr>
      </w:pPr>
    </w:p>
    <w:p w14:paraId="23F73A8A" w14:textId="77777777" w:rsidR="008B1F95" w:rsidRPr="008B1F95" w:rsidRDefault="008B1F95" w:rsidP="008B1F95">
      <w:pPr>
        <w:rPr>
          <w:rFonts w:asciiTheme="majorHAnsi" w:hAnsiTheme="majorHAnsi"/>
          <w:lang w:val="de-CH" w:eastAsia="de-DE"/>
        </w:rPr>
      </w:pPr>
      <w:r w:rsidRPr="008B1F95">
        <w:rPr>
          <w:rFonts w:asciiTheme="majorHAnsi" w:hAnsiTheme="majorHAnsi"/>
          <w:lang w:val="de-CH" w:eastAsia="de-DE"/>
        </w:rPr>
        <w:t>Über die Sensirion Holding AG</w:t>
      </w:r>
    </w:p>
    <w:p w14:paraId="5E8D7B8D" w14:textId="77777777" w:rsidR="008B1F95" w:rsidRPr="008B1F95" w:rsidRDefault="008B1F95" w:rsidP="008B1F95">
      <w:pPr>
        <w:rPr>
          <w:lang w:val="de-CH" w:eastAsia="de-DE"/>
        </w:rPr>
      </w:pPr>
      <w:r w:rsidRPr="008B1F95">
        <w:rPr>
          <w:lang w:val="de-CH" w:eastAsia="de-DE"/>
        </w:rPr>
        <w:t xml:space="preserve">Die Sensirion Holding AG (SIX Swiss Exchange: SENS) mit Sitz in Stäfa, Schweiz, ist ein führender Hersteller von digitalen Mikrosensoren und -systemen. Das Produktsortiment umfasst Umweltsensoren für die Messung von Feuchte und Temperatur, Kohlendioxid (CO2), Feinstaub (PM2.5) und flüchtigen organischen Verbindungen (VOC), Durchflusssensoren für Gase und Flüssigkeiten, Differenzdrucksensoren sowie Gasleckagesensoren. Ein internationales Netzwerk von Vertriebsbüros in den USA, in Europa, China, Taiwan, Japan und Südkorea beliefert die internationalen Kunden mit standardisierten und massgeschneiderten Sensorsystemlösungen für eine Vielzahl von Anwendungen. Sensoren von Sensirion sind an vielen Stellen in der Automobilindustrie, Medizintechnik, Industrie, und Unterhaltungselektronik zu finden. Weitere Informationen finden Sie unter: </w:t>
      </w:r>
      <w:r>
        <w:fldChar w:fldCharType="begin"/>
      </w:r>
      <w:r w:rsidRPr="00A23DDE">
        <w:rPr>
          <w:lang w:val="de-CH"/>
          <w:rPrChange w:id="3" w:author="Barbara Thurnherr" w:date="2026-04-13T16:10:00Z" w16du:dateUtc="2026-04-13T14:10:00Z">
            <w:rPr/>
          </w:rPrChange>
        </w:rPr>
        <w:instrText>HYPERLINK "http://www.sensirion.com"</w:instrText>
      </w:r>
      <w:r>
        <w:fldChar w:fldCharType="separate"/>
      </w:r>
      <w:r w:rsidRPr="006B2015">
        <w:rPr>
          <w:rStyle w:val="Hyperlink"/>
          <w:lang w:val="de-CH" w:eastAsia="de-DE"/>
        </w:rPr>
        <w:t>www.sensirion.com</w:t>
      </w:r>
      <w:r>
        <w:fldChar w:fldCharType="end"/>
      </w:r>
      <w:r w:rsidRPr="008B1F95">
        <w:rPr>
          <w:lang w:val="de-CH" w:eastAsia="de-DE"/>
        </w:rPr>
        <w:t>.</w:t>
      </w:r>
      <w:r>
        <w:rPr>
          <w:lang w:val="de-CH" w:eastAsia="de-DE"/>
        </w:rPr>
        <w:t xml:space="preserve"> </w:t>
      </w:r>
    </w:p>
    <w:p w14:paraId="74C9ABA2" w14:textId="77777777" w:rsidR="008B1F95" w:rsidRPr="008B1F95" w:rsidRDefault="008B1F95" w:rsidP="008B1F95">
      <w:pPr>
        <w:rPr>
          <w:rFonts w:asciiTheme="majorHAnsi" w:hAnsiTheme="majorHAnsi"/>
          <w:lang w:val="de-CH" w:eastAsia="de-DE"/>
        </w:rPr>
      </w:pPr>
    </w:p>
    <w:p w14:paraId="77CA56C4" w14:textId="77777777" w:rsidR="008B1F95" w:rsidRPr="008B1F95" w:rsidRDefault="008B1F95" w:rsidP="008B1F95">
      <w:pPr>
        <w:rPr>
          <w:rFonts w:asciiTheme="majorHAnsi" w:hAnsiTheme="majorHAnsi"/>
          <w:lang w:val="de-CH" w:eastAsia="de-DE"/>
        </w:rPr>
      </w:pPr>
      <w:r w:rsidRPr="008B1F95">
        <w:rPr>
          <w:rFonts w:asciiTheme="majorHAnsi" w:hAnsiTheme="majorHAnsi"/>
          <w:lang w:val="de-CH" w:eastAsia="de-DE"/>
        </w:rPr>
        <w:t>Disclaimer</w:t>
      </w:r>
    </w:p>
    <w:p w14:paraId="286F9338" w14:textId="77777777" w:rsidR="008B1F95" w:rsidRPr="008B1F95" w:rsidRDefault="008B1F95" w:rsidP="008B1F95">
      <w:pPr>
        <w:rPr>
          <w:sz w:val="18"/>
          <w:szCs w:val="18"/>
          <w:lang w:val="de-CH" w:eastAsia="de-DE"/>
        </w:rPr>
      </w:pPr>
      <w:r w:rsidRPr="008B1F95">
        <w:rPr>
          <w:sz w:val="18"/>
          <w:szCs w:val="18"/>
          <w:lang w:val="de-CH" w:eastAsia="de-DE"/>
        </w:rPr>
        <w:t>Gewisse Aussagen in diesem Dokument sind in die Zukunft gerichtete Aussagen („forward-looking statements“), einschliesslich derjenigen, welche Wörter wie „glauben“, „annehmen“, „erwarten“ oder andere ähnliche Ausdrücke verwenden. Solche zukunftsgerichteten Aussagen beruhen auf Annahmen und Erwartungen und unterliegen aufgrund ihrer Art bekannten und unbekannten Risiken, Unsicherheiten und anderen Faktoren, welche dazu führen können, dass die tatsächlichen Ergebnisse, Leistungen und Erfolge wesentlich von denen abweichen können, welche durch die zukunftsgerichteten Aussagen erwähnt oder impliziert werden. Zu diesen Faktoren gehören unter anderem die zukünftige globale Wirtschaftslage, veränderte Marktbedingungen, Wettbewerb mit anderen Unternehmen, Auswirkungen und Risiken von neuen Technologien, Kosten der Einhaltung von anwendbaren Gesetzen, Regularien und Standards, verschiedene politische, rechtliche, wirtschaftliche und andere Bedingungen in den Märkten, in welchen Sensirion tätig ist, sowie andere Faktoren, auf welche Sensirion keinen Einfluss hat. In Anbetracht dieser Unsicherheiten sollten Sie kein unangemessenes Vertrauen in diese zukunftsgerichteten Aussagen setzen. Sensirion hat weder die Absicht noch die Verpflichtung, zukunftsgerichtete Tatsachen zu aktualisieren oder diese infolge von zukünftigen Ereignissen oder Entwicklungen anzupassen.</w:t>
      </w:r>
    </w:p>
    <w:p w14:paraId="5B6F821D" w14:textId="77777777" w:rsidR="008B1F95" w:rsidRPr="008B1F95" w:rsidRDefault="008B1F95" w:rsidP="008B1F95">
      <w:pPr>
        <w:rPr>
          <w:sz w:val="18"/>
          <w:szCs w:val="18"/>
          <w:lang w:val="de-CH" w:eastAsia="de-DE"/>
        </w:rPr>
      </w:pPr>
    </w:p>
    <w:p w14:paraId="5FDF8A45" w14:textId="77777777" w:rsidR="008B1F95" w:rsidRPr="008B1F95" w:rsidRDefault="008B1F95" w:rsidP="008B1F95">
      <w:pPr>
        <w:rPr>
          <w:sz w:val="18"/>
          <w:szCs w:val="18"/>
          <w:lang w:val="de-CH" w:eastAsia="de-DE"/>
        </w:rPr>
      </w:pPr>
      <w:r w:rsidRPr="008B1F95">
        <w:rPr>
          <w:sz w:val="18"/>
          <w:szCs w:val="18"/>
          <w:lang w:val="de-CH" w:eastAsia="de-DE"/>
        </w:rPr>
        <w:t xml:space="preserve">Sensirion verwendet bestimmte Kennzahlen für die Performancemessung, die nach Swiss GAAP FER nicht definiert sind. Diese alternativen Performancekennzahlen sind möglicherweise nicht mit ähnlich bezeichneten Kennzahlen anderer Unternehmen vergleichbar. Weitere Informationen zu diesen Kennzahlen finden sich auf </w:t>
      </w:r>
      <w:r>
        <w:fldChar w:fldCharType="begin"/>
      </w:r>
      <w:r w:rsidRPr="00A23DDE">
        <w:rPr>
          <w:lang w:val="de-CH"/>
          <w:rPrChange w:id="4" w:author="Barbara Thurnherr" w:date="2026-04-13T16:10:00Z" w16du:dateUtc="2026-04-13T14:10:00Z">
            <w:rPr/>
          </w:rPrChange>
        </w:rPr>
        <w:instrText>HYPERLINK "http://www.sensirion.com/additional-performance-measures"</w:instrText>
      </w:r>
      <w:r>
        <w:fldChar w:fldCharType="separate"/>
      </w:r>
      <w:r w:rsidRPr="006B2015">
        <w:rPr>
          <w:rStyle w:val="Hyperlink"/>
          <w:sz w:val="18"/>
          <w:szCs w:val="18"/>
          <w:lang w:val="de-CH" w:eastAsia="de-DE"/>
        </w:rPr>
        <w:t>www.sensirion.com/additional-performance-measures</w:t>
      </w:r>
      <w:r>
        <w:fldChar w:fldCharType="end"/>
      </w:r>
      <w:r w:rsidRPr="008B1F95">
        <w:rPr>
          <w:sz w:val="18"/>
          <w:szCs w:val="18"/>
          <w:lang w:val="de-CH" w:eastAsia="de-DE"/>
        </w:rPr>
        <w:t>.</w:t>
      </w:r>
      <w:r>
        <w:rPr>
          <w:sz w:val="18"/>
          <w:szCs w:val="18"/>
          <w:lang w:val="de-CH" w:eastAsia="de-DE"/>
        </w:rPr>
        <w:t xml:space="preserve"> </w:t>
      </w:r>
    </w:p>
    <w:p w14:paraId="1DC85CF3" w14:textId="77777777" w:rsidR="008B1F95" w:rsidRPr="008B1F95" w:rsidRDefault="008B1F95" w:rsidP="008B1F95">
      <w:pPr>
        <w:rPr>
          <w:sz w:val="18"/>
          <w:szCs w:val="18"/>
          <w:lang w:val="de-CH" w:eastAsia="de-DE"/>
        </w:rPr>
      </w:pPr>
    </w:p>
    <w:p w14:paraId="2AA28EA0" w14:textId="77777777" w:rsidR="00122B51" w:rsidRPr="008B1F95" w:rsidRDefault="008B1F95" w:rsidP="008B1F95">
      <w:pPr>
        <w:rPr>
          <w:sz w:val="18"/>
          <w:szCs w:val="18"/>
          <w:lang w:val="de-CH" w:eastAsia="de-DE"/>
        </w:rPr>
      </w:pPr>
      <w:r w:rsidRPr="008B1F95">
        <w:rPr>
          <w:sz w:val="18"/>
          <w:szCs w:val="18"/>
          <w:lang w:val="de-CH" w:eastAsia="de-DE"/>
        </w:rPr>
        <w:t>Dieses Dokument stellt weder ein Angebot zum Verkauf noch eine Aufforderung zur Abgabe eines Angebots zum Kauf von Effekten dar.</w:t>
      </w:r>
    </w:p>
    <w:p w14:paraId="39465A61" w14:textId="77777777" w:rsidR="00986756" w:rsidRPr="008B1F95" w:rsidRDefault="00986756" w:rsidP="00986756">
      <w:pPr>
        <w:rPr>
          <w:lang w:val="de-CH" w:eastAsia="de-DE"/>
        </w:rPr>
      </w:pPr>
    </w:p>
    <w:sectPr w:rsidR="00986756" w:rsidRPr="008B1F95" w:rsidSect="00C5040D">
      <w:headerReference w:type="default" r:id="rId11"/>
      <w:footerReference w:type="default" r:id="rId12"/>
      <w:headerReference w:type="first" r:id="rId13"/>
      <w:footerReference w:type="first" r:id="rId14"/>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9DF13" w14:textId="77777777" w:rsidR="001A1A6F" w:rsidRDefault="001A1A6F" w:rsidP="0054380F">
      <w:pPr>
        <w:spacing w:line="240" w:lineRule="auto"/>
      </w:pPr>
      <w:r>
        <w:separator/>
      </w:r>
    </w:p>
  </w:endnote>
  <w:endnote w:type="continuationSeparator" w:id="0">
    <w:p w14:paraId="50F661B5" w14:textId="77777777" w:rsidR="001A1A6F" w:rsidRDefault="001A1A6F"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4C3F4" w14:textId="77777777" w:rsidR="00D44150" w:rsidRPr="00372AC0" w:rsidRDefault="00D91EAB" w:rsidP="000B2869">
    <w:pPr>
      <w:pStyle w:val="Fuzeile"/>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11087" w14:textId="77777777" w:rsidR="00D44150" w:rsidRDefault="00D44150">
    <w:pPr>
      <w:pStyle w:val="Fuzeile"/>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7697F" w14:textId="77777777" w:rsidR="001A1A6F" w:rsidRDefault="001A1A6F" w:rsidP="0054380F">
      <w:pPr>
        <w:spacing w:line="240" w:lineRule="auto"/>
      </w:pPr>
      <w:r>
        <w:separator/>
      </w:r>
    </w:p>
  </w:footnote>
  <w:footnote w:type="continuationSeparator" w:id="0">
    <w:p w14:paraId="01790053" w14:textId="77777777" w:rsidR="001A1A6F" w:rsidRDefault="001A1A6F"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E1579" w14:textId="77777777" w:rsidR="00D44150" w:rsidRDefault="00661641">
    <w:pPr>
      <w:pStyle w:val="Kopfzeile"/>
    </w:pPr>
    <w:r>
      <w:rPr>
        <w:noProof/>
      </w:rPr>
      <w:drawing>
        <wp:anchor distT="0" distB="0" distL="0" distR="0" simplePos="0" relativeHeight="251658240" behindDoc="1" locked="1" layoutInCell="1" allowOverlap="1" wp14:anchorId="5F84D468" wp14:editId="05D590EC">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995EE" w14:textId="77777777" w:rsidR="00D44150" w:rsidRDefault="00EE0CB5">
    <w:pPr>
      <w:pStyle w:val="Kopfzeile"/>
    </w:pPr>
    <w:r>
      <w:rPr>
        <w:noProof/>
      </w:rPr>
      <w:drawing>
        <wp:anchor distT="0" distB="0" distL="114300" distR="114300" simplePos="0" relativeHeight="251658241" behindDoc="1" locked="0" layoutInCell="1" allowOverlap="1" wp14:anchorId="6D2559DD" wp14:editId="4CF572F6">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berschrift1"/>
      <w:lvlText w:val="%1"/>
      <w:lvlJc w:val="left"/>
      <w:pPr>
        <w:ind w:left="454" w:hanging="454"/>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680" w:hanging="680"/>
      </w:pPr>
      <w:rPr>
        <w:rFonts w:hint="default"/>
      </w:rPr>
    </w:lvl>
    <w:lvl w:ilvl="3">
      <w:start w:val="1"/>
      <w:numFmt w:val="decimal"/>
      <w:pStyle w:val="berschrift4"/>
      <w:lvlText w:val="%1.%2.%3.%4"/>
      <w:lvlJc w:val="left"/>
      <w:pPr>
        <w:ind w:left="907" w:hanging="907"/>
      </w:pPr>
      <w:rPr>
        <w:rFonts w:hint="default"/>
      </w:rPr>
    </w:lvl>
    <w:lvl w:ilvl="4">
      <w:start w:val="1"/>
      <w:numFmt w:val="decimal"/>
      <w:pStyle w:val="berschrift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berschrift6"/>
      <w:lvlText w:val="%1.%2.%3.%4.%5.%6"/>
      <w:lvlJc w:val="left"/>
      <w:pPr>
        <w:tabs>
          <w:tab w:val="num" w:pos="2236"/>
        </w:tabs>
        <w:ind w:left="2092" w:hanging="936"/>
      </w:pPr>
      <w:rPr>
        <w:rFonts w:hint="default"/>
      </w:rPr>
    </w:lvl>
    <w:lvl w:ilvl="6">
      <w:start w:val="1"/>
      <w:numFmt w:val="decimal"/>
      <w:pStyle w:val="berschrift7"/>
      <w:lvlText w:val="%1.%2.%3.%4.%5.%6.%7"/>
      <w:lvlJc w:val="left"/>
      <w:pPr>
        <w:tabs>
          <w:tab w:val="num" w:pos="2956"/>
        </w:tabs>
        <w:ind w:left="2596" w:hanging="1080"/>
      </w:pPr>
      <w:rPr>
        <w:rFonts w:hint="default"/>
      </w:rPr>
    </w:lvl>
    <w:lvl w:ilvl="7">
      <w:start w:val="1"/>
      <w:numFmt w:val="decimal"/>
      <w:pStyle w:val="berschrift8"/>
      <w:lvlText w:val="%1.%2.%3.%4.%5.%6.%7.%8"/>
      <w:lvlJc w:val="left"/>
      <w:pPr>
        <w:tabs>
          <w:tab w:val="num" w:pos="3316"/>
        </w:tabs>
        <w:ind w:left="3100" w:hanging="1224"/>
      </w:pPr>
      <w:rPr>
        <w:rFonts w:hint="default"/>
      </w:rPr>
    </w:lvl>
    <w:lvl w:ilvl="8">
      <w:start w:val="1"/>
      <w:numFmt w:val="decimal"/>
      <w:pStyle w:val="berschrift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Aufzhlungszeichen"/>
      <w:lvlText w:val=""/>
      <w:lvlJc w:val="left"/>
      <w:pPr>
        <w:ind w:left="227" w:hanging="227"/>
      </w:pPr>
      <w:rPr>
        <w:rFonts w:ascii="Symbol" w:hAnsi="Symbol" w:hint="default"/>
      </w:rPr>
    </w:lvl>
    <w:lvl w:ilvl="4">
      <w:start w:val="1"/>
      <w:numFmt w:val="bullet"/>
      <w:pStyle w:val="Aufzhlungszeichen2"/>
      <w:lvlText w:val=""/>
      <w:lvlJc w:val="left"/>
      <w:pPr>
        <w:ind w:left="454" w:hanging="227"/>
      </w:pPr>
      <w:rPr>
        <w:rFonts w:ascii="Symbol" w:hAnsi="Symbol" w:hint="default"/>
      </w:rPr>
    </w:lvl>
    <w:lvl w:ilvl="5">
      <w:start w:val="1"/>
      <w:numFmt w:val="bullet"/>
      <w:pStyle w:val="Aufzhlungszeichen3"/>
      <w:lvlText w:val=""/>
      <w:lvlJc w:val="left"/>
      <w:pPr>
        <w:ind w:left="680" w:hanging="226"/>
      </w:pPr>
      <w:rPr>
        <w:rFonts w:ascii="Symbol" w:hAnsi="Symbol" w:hint="default"/>
      </w:rPr>
    </w:lvl>
    <w:lvl w:ilvl="6">
      <w:start w:val="1"/>
      <w:numFmt w:val="bullet"/>
      <w:pStyle w:val="Aufzhlungszeichen4"/>
      <w:lvlText w:val=""/>
      <w:lvlJc w:val="left"/>
      <w:pPr>
        <w:ind w:left="907" w:hanging="227"/>
      </w:pPr>
      <w:rPr>
        <w:rFonts w:ascii="Symbol" w:hAnsi="Symbol" w:hint="default"/>
      </w:rPr>
    </w:lvl>
    <w:lvl w:ilvl="7">
      <w:start w:val="1"/>
      <w:numFmt w:val="bullet"/>
      <w:pStyle w:val="Aufzhlungszeichen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 w:numId="12" w16cid:durableId="1364210246">
    <w:abstractNumId w:val="8"/>
    <w:lvlOverride w:ilvl="0"/>
    <w:lvlOverride w:ilvl="1"/>
    <w:lvlOverride w:ilvl="2">
      <w:startOverride w:val="1"/>
    </w:lvlOverride>
    <w:lvlOverride w:ilvl="3"/>
    <w:lvlOverride w:ilvl="4"/>
    <w:lvlOverride w:ilvl="5"/>
    <w:lvlOverride w:ilvl="6"/>
    <w:lvlOverride w:ilvl="7"/>
    <w:lvlOverride w:ilv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bara Thurnherr">
    <w15:presenceInfo w15:providerId="AD" w15:userId="S::barbara.thurnherr@sensirion.com::dbe5b2ff-df1e-408c-85f8-73883040cc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2F4"/>
    <w:rsid w:val="0000058D"/>
    <w:rsid w:val="00001E51"/>
    <w:rsid w:val="00012F1B"/>
    <w:rsid w:val="00017762"/>
    <w:rsid w:val="00017F16"/>
    <w:rsid w:val="0002682B"/>
    <w:rsid w:val="000406CD"/>
    <w:rsid w:val="000534F9"/>
    <w:rsid w:val="000540BE"/>
    <w:rsid w:val="000625EE"/>
    <w:rsid w:val="000673CD"/>
    <w:rsid w:val="000700BD"/>
    <w:rsid w:val="000718AC"/>
    <w:rsid w:val="000903CE"/>
    <w:rsid w:val="00093683"/>
    <w:rsid w:val="0009507E"/>
    <w:rsid w:val="00096D1E"/>
    <w:rsid w:val="000A0806"/>
    <w:rsid w:val="000B2869"/>
    <w:rsid w:val="000B2CFB"/>
    <w:rsid w:val="000C5717"/>
    <w:rsid w:val="000C69E0"/>
    <w:rsid w:val="000D523B"/>
    <w:rsid w:val="000D7F02"/>
    <w:rsid w:val="000F037A"/>
    <w:rsid w:val="000F1B5B"/>
    <w:rsid w:val="000F24EC"/>
    <w:rsid w:val="000F4CED"/>
    <w:rsid w:val="00102207"/>
    <w:rsid w:val="00112447"/>
    <w:rsid w:val="00114D80"/>
    <w:rsid w:val="001156D3"/>
    <w:rsid w:val="0011713F"/>
    <w:rsid w:val="00122B51"/>
    <w:rsid w:val="00124F40"/>
    <w:rsid w:val="001441CD"/>
    <w:rsid w:val="00151916"/>
    <w:rsid w:val="00151C8E"/>
    <w:rsid w:val="00160641"/>
    <w:rsid w:val="001665A6"/>
    <w:rsid w:val="001815B0"/>
    <w:rsid w:val="001823AE"/>
    <w:rsid w:val="001A1A6F"/>
    <w:rsid w:val="001A2BAB"/>
    <w:rsid w:val="001B29A6"/>
    <w:rsid w:val="001C5C66"/>
    <w:rsid w:val="001E03E8"/>
    <w:rsid w:val="001E1FA7"/>
    <w:rsid w:val="001E282A"/>
    <w:rsid w:val="001E6D3A"/>
    <w:rsid w:val="002016BC"/>
    <w:rsid w:val="002017AE"/>
    <w:rsid w:val="002066AB"/>
    <w:rsid w:val="00220C17"/>
    <w:rsid w:val="00227D72"/>
    <w:rsid w:val="00257AE7"/>
    <w:rsid w:val="002779AB"/>
    <w:rsid w:val="00283083"/>
    <w:rsid w:val="002872C3"/>
    <w:rsid w:val="00293650"/>
    <w:rsid w:val="002952F4"/>
    <w:rsid w:val="002A77DE"/>
    <w:rsid w:val="002B665F"/>
    <w:rsid w:val="002C5A36"/>
    <w:rsid w:val="002D0665"/>
    <w:rsid w:val="002D13F3"/>
    <w:rsid w:val="002F0EB9"/>
    <w:rsid w:val="002F2807"/>
    <w:rsid w:val="002F53B8"/>
    <w:rsid w:val="002F75B2"/>
    <w:rsid w:val="003067D8"/>
    <w:rsid w:val="00312636"/>
    <w:rsid w:val="0033350F"/>
    <w:rsid w:val="003527BF"/>
    <w:rsid w:val="00364D1A"/>
    <w:rsid w:val="00365915"/>
    <w:rsid w:val="00372AC0"/>
    <w:rsid w:val="00374196"/>
    <w:rsid w:val="00376D86"/>
    <w:rsid w:val="00384A16"/>
    <w:rsid w:val="00387466"/>
    <w:rsid w:val="00395AB5"/>
    <w:rsid w:val="00397629"/>
    <w:rsid w:val="003B5924"/>
    <w:rsid w:val="003C1DD7"/>
    <w:rsid w:val="003D0673"/>
    <w:rsid w:val="003E3705"/>
    <w:rsid w:val="00406FDA"/>
    <w:rsid w:val="00411C9F"/>
    <w:rsid w:val="00411FA4"/>
    <w:rsid w:val="00442153"/>
    <w:rsid w:val="004448D2"/>
    <w:rsid w:val="0044640D"/>
    <w:rsid w:val="00455308"/>
    <w:rsid w:val="00461083"/>
    <w:rsid w:val="00471CC8"/>
    <w:rsid w:val="00472230"/>
    <w:rsid w:val="0047464B"/>
    <w:rsid w:val="004754CC"/>
    <w:rsid w:val="00483E36"/>
    <w:rsid w:val="00483F63"/>
    <w:rsid w:val="0049233D"/>
    <w:rsid w:val="00492CA2"/>
    <w:rsid w:val="00495788"/>
    <w:rsid w:val="004B6F57"/>
    <w:rsid w:val="004C0541"/>
    <w:rsid w:val="004D49B2"/>
    <w:rsid w:val="004D6B43"/>
    <w:rsid w:val="004E3E00"/>
    <w:rsid w:val="004E47E0"/>
    <w:rsid w:val="004E6A1F"/>
    <w:rsid w:val="004E6CAA"/>
    <w:rsid w:val="004E7B01"/>
    <w:rsid w:val="004F606B"/>
    <w:rsid w:val="005007DF"/>
    <w:rsid w:val="00514CC0"/>
    <w:rsid w:val="00527B1E"/>
    <w:rsid w:val="0054380F"/>
    <w:rsid w:val="00544209"/>
    <w:rsid w:val="00544CBD"/>
    <w:rsid w:val="00553615"/>
    <w:rsid w:val="00583472"/>
    <w:rsid w:val="00584D18"/>
    <w:rsid w:val="00592B46"/>
    <w:rsid w:val="005A334D"/>
    <w:rsid w:val="005A6085"/>
    <w:rsid w:val="005B7F0F"/>
    <w:rsid w:val="005C0352"/>
    <w:rsid w:val="005C6AAD"/>
    <w:rsid w:val="005D08A7"/>
    <w:rsid w:val="005E7EB2"/>
    <w:rsid w:val="005F24E3"/>
    <w:rsid w:val="005F32DD"/>
    <w:rsid w:val="006227DA"/>
    <w:rsid w:val="006352DD"/>
    <w:rsid w:val="006445C2"/>
    <w:rsid w:val="006468F1"/>
    <w:rsid w:val="0065096C"/>
    <w:rsid w:val="006545DF"/>
    <w:rsid w:val="00657680"/>
    <w:rsid w:val="00661641"/>
    <w:rsid w:val="00664234"/>
    <w:rsid w:val="00665C7D"/>
    <w:rsid w:val="00674A6E"/>
    <w:rsid w:val="00680757"/>
    <w:rsid w:val="00693E4F"/>
    <w:rsid w:val="006A5423"/>
    <w:rsid w:val="006B538C"/>
    <w:rsid w:val="006C4645"/>
    <w:rsid w:val="006D1D0E"/>
    <w:rsid w:val="006D20D7"/>
    <w:rsid w:val="006D30A0"/>
    <w:rsid w:val="006D7C2B"/>
    <w:rsid w:val="006E020F"/>
    <w:rsid w:val="006E2BA7"/>
    <w:rsid w:val="006E4EF2"/>
    <w:rsid w:val="006E5C06"/>
    <w:rsid w:val="006F7571"/>
    <w:rsid w:val="00703360"/>
    <w:rsid w:val="007267E3"/>
    <w:rsid w:val="007456CD"/>
    <w:rsid w:val="00750E49"/>
    <w:rsid w:val="00751DF0"/>
    <w:rsid w:val="00756F54"/>
    <w:rsid w:val="007735E7"/>
    <w:rsid w:val="00776848"/>
    <w:rsid w:val="00791E76"/>
    <w:rsid w:val="00796D92"/>
    <w:rsid w:val="007A0190"/>
    <w:rsid w:val="007A14AA"/>
    <w:rsid w:val="007A28BB"/>
    <w:rsid w:val="007B0CAA"/>
    <w:rsid w:val="007C2F79"/>
    <w:rsid w:val="007C689F"/>
    <w:rsid w:val="007D4742"/>
    <w:rsid w:val="007E42AA"/>
    <w:rsid w:val="007E4988"/>
    <w:rsid w:val="007F17A3"/>
    <w:rsid w:val="007F4034"/>
    <w:rsid w:val="008032EB"/>
    <w:rsid w:val="00805EAE"/>
    <w:rsid w:val="00810693"/>
    <w:rsid w:val="00811948"/>
    <w:rsid w:val="008170D3"/>
    <w:rsid w:val="00840AA5"/>
    <w:rsid w:val="008420CA"/>
    <w:rsid w:val="00847DCE"/>
    <w:rsid w:val="0085462E"/>
    <w:rsid w:val="00857F4B"/>
    <w:rsid w:val="00870751"/>
    <w:rsid w:val="00882D26"/>
    <w:rsid w:val="00895B3D"/>
    <w:rsid w:val="008A04E8"/>
    <w:rsid w:val="008A7FD8"/>
    <w:rsid w:val="008B1F95"/>
    <w:rsid w:val="008C3807"/>
    <w:rsid w:val="008C59CA"/>
    <w:rsid w:val="008E79F6"/>
    <w:rsid w:val="00901F6A"/>
    <w:rsid w:val="0090391B"/>
    <w:rsid w:val="00911962"/>
    <w:rsid w:val="00923720"/>
    <w:rsid w:val="009249ED"/>
    <w:rsid w:val="009278DB"/>
    <w:rsid w:val="0093383D"/>
    <w:rsid w:val="00935B8D"/>
    <w:rsid w:val="00936C4F"/>
    <w:rsid w:val="009442BF"/>
    <w:rsid w:val="00956F0A"/>
    <w:rsid w:val="00957A44"/>
    <w:rsid w:val="00964ADD"/>
    <w:rsid w:val="0096647E"/>
    <w:rsid w:val="00986756"/>
    <w:rsid w:val="00986CD2"/>
    <w:rsid w:val="009C0788"/>
    <w:rsid w:val="009C43FC"/>
    <w:rsid w:val="009D2A77"/>
    <w:rsid w:val="009D30CD"/>
    <w:rsid w:val="009D5F65"/>
    <w:rsid w:val="009E32A0"/>
    <w:rsid w:val="009E5A09"/>
    <w:rsid w:val="009E5A33"/>
    <w:rsid w:val="00A01F29"/>
    <w:rsid w:val="00A041E6"/>
    <w:rsid w:val="00A10CC5"/>
    <w:rsid w:val="00A131A9"/>
    <w:rsid w:val="00A22697"/>
    <w:rsid w:val="00A23DDE"/>
    <w:rsid w:val="00A32015"/>
    <w:rsid w:val="00A325E4"/>
    <w:rsid w:val="00A353C1"/>
    <w:rsid w:val="00A35700"/>
    <w:rsid w:val="00A5624A"/>
    <w:rsid w:val="00A70401"/>
    <w:rsid w:val="00A70610"/>
    <w:rsid w:val="00A71276"/>
    <w:rsid w:val="00A722D2"/>
    <w:rsid w:val="00A7509F"/>
    <w:rsid w:val="00A75971"/>
    <w:rsid w:val="00A8088B"/>
    <w:rsid w:val="00A9042D"/>
    <w:rsid w:val="00A93798"/>
    <w:rsid w:val="00AA5F6F"/>
    <w:rsid w:val="00AA6738"/>
    <w:rsid w:val="00AB465E"/>
    <w:rsid w:val="00AC5C27"/>
    <w:rsid w:val="00AD470F"/>
    <w:rsid w:val="00AE1D8A"/>
    <w:rsid w:val="00AE332C"/>
    <w:rsid w:val="00AE5A99"/>
    <w:rsid w:val="00AE6D62"/>
    <w:rsid w:val="00AE77FB"/>
    <w:rsid w:val="00AF3525"/>
    <w:rsid w:val="00AF587E"/>
    <w:rsid w:val="00B029E1"/>
    <w:rsid w:val="00B0608A"/>
    <w:rsid w:val="00B22F78"/>
    <w:rsid w:val="00B33AB1"/>
    <w:rsid w:val="00B36BAD"/>
    <w:rsid w:val="00B43297"/>
    <w:rsid w:val="00B54145"/>
    <w:rsid w:val="00B639FD"/>
    <w:rsid w:val="00B71553"/>
    <w:rsid w:val="00B730FE"/>
    <w:rsid w:val="00B74DC3"/>
    <w:rsid w:val="00B757BD"/>
    <w:rsid w:val="00B777D2"/>
    <w:rsid w:val="00B8041D"/>
    <w:rsid w:val="00B93977"/>
    <w:rsid w:val="00BA3C12"/>
    <w:rsid w:val="00BD1648"/>
    <w:rsid w:val="00BE52DF"/>
    <w:rsid w:val="00C04B56"/>
    <w:rsid w:val="00C22453"/>
    <w:rsid w:val="00C3756F"/>
    <w:rsid w:val="00C4332E"/>
    <w:rsid w:val="00C43C62"/>
    <w:rsid w:val="00C5040D"/>
    <w:rsid w:val="00C5622A"/>
    <w:rsid w:val="00C64E26"/>
    <w:rsid w:val="00C875D9"/>
    <w:rsid w:val="00CB1C07"/>
    <w:rsid w:val="00CB2D76"/>
    <w:rsid w:val="00CB395D"/>
    <w:rsid w:val="00CF2C8E"/>
    <w:rsid w:val="00CF7230"/>
    <w:rsid w:val="00D03EE2"/>
    <w:rsid w:val="00D047F8"/>
    <w:rsid w:val="00D06FA3"/>
    <w:rsid w:val="00D13B29"/>
    <w:rsid w:val="00D20ED1"/>
    <w:rsid w:val="00D3492B"/>
    <w:rsid w:val="00D4213F"/>
    <w:rsid w:val="00D44150"/>
    <w:rsid w:val="00D452F1"/>
    <w:rsid w:val="00D502C0"/>
    <w:rsid w:val="00D5508C"/>
    <w:rsid w:val="00D601C3"/>
    <w:rsid w:val="00D61612"/>
    <w:rsid w:val="00D75A98"/>
    <w:rsid w:val="00D82195"/>
    <w:rsid w:val="00D83E55"/>
    <w:rsid w:val="00D91EAB"/>
    <w:rsid w:val="00D9787E"/>
    <w:rsid w:val="00DA5EFF"/>
    <w:rsid w:val="00DB0410"/>
    <w:rsid w:val="00DB58D5"/>
    <w:rsid w:val="00DC68A5"/>
    <w:rsid w:val="00DC7647"/>
    <w:rsid w:val="00E01F44"/>
    <w:rsid w:val="00E070B3"/>
    <w:rsid w:val="00E20478"/>
    <w:rsid w:val="00E32DB8"/>
    <w:rsid w:val="00E3703F"/>
    <w:rsid w:val="00E37B1D"/>
    <w:rsid w:val="00E46328"/>
    <w:rsid w:val="00E54A01"/>
    <w:rsid w:val="00E54E5F"/>
    <w:rsid w:val="00E62A40"/>
    <w:rsid w:val="00E676F1"/>
    <w:rsid w:val="00E67FC7"/>
    <w:rsid w:val="00E76C33"/>
    <w:rsid w:val="00E84AE6"/>
    <w:rsid w:val="00E879C2"/>
    <w:rsid w:val="00E94DCD"/>
    <w:rsid w:val="00EB1F98"/>
    <w:rsid w:val="00EB7B11"/>
    <w:rsid w:val="00EC096E"/>
    <w:rsid w:val="00ED119D"/>
    <w:rsid w:val="00ED49CA"/>
    <w:rsid w:val="00EE025B"/>
    <w:rsid w:val="00EE0CB5"/>
    <w:rsid w:val="00EE28D7"/>
    <w:rsid w:val="00EF5079"/>
    <w:rsid w:val="00F0122B"/>
    <w:rsid w:val="00F02E30"/>
    <w:rsid w:val="00F07475"/>
    <w:rsid w:val="00F108E3"/>
    <w:rsid w:val="00F22AED"/>
    <w:rsid w:val="00F36C5E"/>
    <w:rsid w:val="00F40AFE"/>
    <w:rsid w:val="00F50C03"/>
    <w:rsid w:val="00F50D5A"/>
    <w:rsid w:val="00F5617D"/>
    <w:rsid w:val="00F74278"/>
    <w:rsid w:val="00F80C44"/>
    <w:rsid w:val="00F82C19"/>
    <w:rsid w:val="00F918ED"/>
    <w:rsid w:val="00F94BD1"/>
    <w:rsid w:val="00FA2046"/>
    <w:rsid w:val="00FA782A"/>
    <w:rsid w:val="00FB08E7"/>
    <w:rsid w:val="00FB2354"/>
    <w:rsid w:val="00FD1628"/>
    <w:rsid w:val="00FD4F7E"/>
    <w:rsid w:val="00FE1331"/>
    <w:rsid w:val="00FE6715"/>
    <w:rsid w:val="00FE7FCB"/>
    <w:rsid w:val="00FF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8B21A"/>
  <w15:chartTrackingRefBased/>
  <w15:docId w15:val="{54A684FE-279B-428D-993C-EFF4593F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6C4F"/>
    <w:pPr>
      <w:spacing w:line="260" w:lineRule="atLeast"/>
    </w:pPr>
  </w:style>
  <w:style w:type="paragraph" w:styleId="berschrift1">
    <w:name w:val="heading 1"/>
    <w:basedOn w:val="Standard"/>
    <w:next w:val="Standard"/>
    <w:link w:val="berschrift1Zchn"/>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berschrift2">
    <w:name w:val="heading 2"/>
    <w:basedOn w:val="Standard"/>
    <w:next w:val="Standard"/>
    <w:link w:val="berschrift2Zchn"/>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berschrift3">
    <w:name w:val="heading 3"/>
    <w:basedOn w:val="Standard"/>
    <w:next w:val="Standard"/>
    <w:link w:val="berschrift3Zchn"/>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berschrift4">
    <w:name w:val="heading 4"/>
    <w:basedOn w:val="Standard"/>
    <w:next w:val="Standard"/>
    <w:link w:val="berschrift4Zchn"/>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berschrift5">
    <w:name w:val="heading 5"/>
    <w:basedOn w:val="Standard"/>
    <w:next w:val="Standard"/>
    <w:link w:val="berschrift5Zchn"/>
    <w:uiPriority w:val="19"/>
    <w:unhideWhenUsed/>
    <w:qFormat/>
    <w:rsid w:val="000B2869"/>
    <w:pPr>
      <w:keepNext/>
      <w:numPr>
        <w:ilvl w:val="4"/>
        <w:numId w:val="7"/>
      </w:numPr>
      <w:spacing w:after="120"/>
      <w:contextualSpacing/>
      <w:outlineLvl w:val="4"/>
    </w:pPr>
    <w:rPr>
      <w:rFonts w:cs="Arial"/>
      <w:szCs w:val="18"/>
      <w:lang w:eastAsia="de-DE"/>
    </w:rPr>
  </w:style>
  <w:style w:type="paragraph" w:styleId="berschrift6">
    <w:name w:val="heading 6"/>
    <w:basedOn w:val="Standard"/>
    <w:next w:val="Standard"/>
    <w:link w:val="berschrift6Zchn"/>
    <w:uiPriority w:val="19"/>
    <w:semiHidden/>
    <w:qFormat/>
    <w:rsid w:val="00DB58D5"/>
    <w:pPr>
      <w:numPr>
        <w:ilvl w:val="5"/>
        <w:numId w:val="4"/>
      </w:numPr>
      <w:spacing w:after="120" w:line="240" w:lineRule="atLeast"/>
      <w:contextualSpacing/>
      <w:outlineLvl w:val="5"/>
    </w:pPr>
    <w:rPr>
      <w:bCs/>
      <w:sz w:val="18"/>
      <w:lang w:eastAsia="de-DE"/>
    </w:rPr>
  </w:style>
  <w:style w:type="paragraph" w:styleId="berschrift7">
    <w:name w:val="heading 7"/>
    <w:basedOn w:val="Standard"/>
    <w:next w:val="Standard"/>
    <w:link w:val="berschrift7Zchn"/>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berschrift8">
    <w:name w:val="heading 8"/>
    <w:basedOn w:val="Standard"/>
    <w:next w:val="Standard"/>
    <w:link w:val="berschrift8Zchn"/>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berschrift9">
    <w:name w:val="heading 9"/>
    <w:basedOn w:val="Standard"/>
    <w:next w:val="Standard"/>
    <w:link w:val="berschrift9Zchn"/>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14"/>
    <w:unhideWhenUsed/>
    <w:rsid w:val="00DB58D5"/>
  </w:style>
  <w:style w:type="character" w:customStyle="1" w:styleId="KopfzeileZchn">
    <w:name w:val="Kopfzeile Zchn"/>
    <w:link w:val="Kopfzeile"/>
    <w:uiPriority w:val="14"/>
    <w:rsid w:val="001E1FA7"/>
    <w:rPr>
      <w:rFonts w:ascii="Arial Narrow" w:hAnsi="Arial Narrow" w:cs="Times New Roman"/>
      <w:sz w:val="20"/>
    </w:rPr>
  </w:style>
  <w:style w:type="paragraph" w:styleId="Fuzeile">
    <w:name w:val="footer"/>
    <w:basedOn w:val="Standard"/>
    <w:link w:val="FuzeileZchn"/>
    <w:uiPriority w:val="10"/>
    <w:rsid w:val="00372AC0"/>
    <w:pPr>
      <w:tabs>
        <w:tab w:val="center" w:pos="4536"/>
        <w:tab w:val="right" w:pos="9072"/>
      </w:tabs>
      <w:spacing w:line="240" w:lineRule="auto"/>
    </w:pPr>
    <w:rPr>
      <w:sz w:val="14"/>
    </w:rPr>
  </w:style>
  <w:style w:type="character" w:customStyle="1" w:styleId="FuzeileZchn">
    <w:name w:val="Fußzeile Zchn"/>
    <w:link w:val="Fuzeile"/>
    <w:uiPriority w:val="10"/>
    <w:rsid w:val="00372AC0"/>
    <w:rPr>
      <w:sz w:val="14"/>
    </w:rPr>
  </w:style>
  <w:style w:type="paragraph" w:styleId="Aufzhlungszeichen2">
    <w:name w:val="List Bullet 2"/>
    <w:basedOn w:val="Standard"/>
    <w:uiPriority w:val="99"/>
    <w:semiHidden/>
    <w:rsid w:val="00E94DCD"/>
    <w:pPr>
      <w:numPr>
        <w:ilvl w:val="4"/>
        <w:numId w:val="5"/>
      </w:numPr>
    </w:pPr>
  </w:style>
  <w:style w:type="paragraph" w:styleId="Aufzhlungszeichen3">
    <w:name w:val="List Bullet 3"/>
    <w:basedOn w:val="Standard"/>
    <w:uiPriority w:val="99"/>
    <w:semiHidden/>
    <w:rsid w:val="00E94DCD"/>
    <w:pPr>
      <w:numPr>
        <w:ilvl w:val="5"/>
        <w:numId w:val="5"/>
      </w:numPr>
    </w:pPr>
  </w:style>
  <w:style w:type="paragraph" w:styleId="Aufzhlungszeichen4">
    <w:name w:val="List Bullet 4"/>
    <w:basedOn w:val="Standard"/>
    <w:uiPriority w:val="99"/>
    <w:semiHidden/>
    <w:rsid w:val="00E94DCD"/>
    <w:pPr>
      <w:numPr>
        <w:ilvl w:val="6"/>
        <w:numId w:val="5"/>
      </w:numPr>
    </w:pPr>
  </w:style>
  <w:style w:type="paragraph" w:styleId="Aufzhlungszeichen5">
    <w:name w:val="List Bullet 5"/>
    <w:basedOn w:val="Standard"/>
    <w:uiPriority w:val="99"/>
    <w:semiHidden/>
    <w:rsid w:val="00E94DCD"/>
    <w:pPr>
      <w:numPr>
        <w:ilvl w:val="7"/>
        <w:numId w:val="5"/>
      </w:numPr>
    </w:pPr>
  </w:style>
  <w:style w:type="table" w:customStyle="1" w:styleId="BasisTabelle">
    <w:name w:val="Basis Tabelle"/>
    <w:basedOn w:val="NormaleTabelle"/>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Beschriftung">
    <w:name w:val="caption"/>
    <w:basedOn w:val="Standard"/>
    <w:next w:val="Standard"/>
    <w:uiPriority w:val="39"/>
    <w:unhideWhenUsed/>
    <w:rsid w:val="0002682B"/>
    <w:pPr>
      <w:framePr w:h="454" w:wrap="around" w:vAnchor="text" w:hAnchor="text" w:y="1"/>
      <w:suppressLineNumbers/>
      <w:spacing w:before="60" w:after="120" w:line="200" w:lineRule="atLeast"/>
      <w:ind w:right="113"/>
    </w:pPr>
    <w:rPr>
      <w:bCs/>
    </w:rPr>
  </w:style>
  <w:style w:type="character" w:styleId="BesuchterLink">
    <w:name w:val="FollowedHyperlink"/>
    <w:uiPriority w:val="41"/>
    <w:semiHidden/>
    <w:unhideWhenUsed/>
    <w:rsid w:val="00DB58D5"/>
    <w:rPr>
      <w:color w:val="auto"/>
      <w:u w:val="single"/>
    </w:rPr>
  </w:style>
  <w:style w:type="paragraph" w:styleId="Blocktext">
    <w:name w:val="Block Text"/>
    <w:basedOn w:val="Standard"/>
    <w:uiPriority w:val="99"/>
    <w:semiHidden/>
    <w:rsid w:val="00E94DCD"/>
    <w:pPr>
      <w:ind w:left="1440" w:right="1440"/>
    </w:pPr>
  </w:style>
  <w:style w:type="paragraph" w:customStyle="1" w:styleId="BulletpointsEbene1">
    <w:name w:val="Bulletpoints Ebene 1"/>
    <w:basedOn w:val="Standard"/>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Standard"/>
    <w:uiPriority w:val="99"/>
    <w:semiHidden/>
    <w:rsid w:val="00E94DCD"/>
    <w:pPr>
      <w:numPr>
        <w:ilvl w:val="1"/>
        <w:numId w:val="1"/>
      </w:numPr>
    </w:pPr>
    <w:rPr>
      <w:rFonts w:eastAsia="Calibri" w:cs="Arial"/>
    </w:rPr>
  </w:style>
  <w:style w:type="paragraph" w:styleId="Dokumentstruktur">
    <w:name w:val="Document Map"/>
    <w:basedOn w:val="Standard"/>
    <w:link w:val="DokumentstrukturZchn"/>
    <w:uiPriority w:val="99"/>
    <w:semiHidden/>
    <w:unhideWhenUsed/>
    <w:rsid w:val="00E94DCD"/>
    <w:pPr>
      <w:shd w:val="clear" w:color="auto" w:fill="000080"/>
    </w:pPr>
    <w:rPr>
      <w:rFonts w:ascii="Tahoma" w:hAnsi="Tahoma"/>
    </w:rPr>
  </w:style>
  <w:style w:type="character" w:customStyle="1" w:styleId="DokumentstrukturZchn">
    <w:name w:val="Dokumentstruktur Zchn"/>
    <w:link w:val="Dokumentstruktur"/>
    <w:uiPriority w:val="99"/>
    <w:semiHidden/>
    <w:rsid w:val="00D44150"/>
    <w:rPr>
      <w:rFonts w:ascii="Tahoma" w:hAnsi="Tahoma" w:cs="Times New Roman"/>
      <w:sz w:val="20"/>
      <w:szCs w:val="20"/>
      <w:shd w:val="clear" w:color="auto" w:fill="000080"/>
    </w:rPr>
  </w:style>
  <w:style w:type="paragraph" w:styleId="Gruformel">
    <w:name w:val="Closing"/>
    <w:basedOn w:val="Standard"/>
    <w:link w:val="GruformelZchn"/>
    <w:uiPriority w:val="99"/>
    <w:semiHidden/>
    <w:rsid w:val="00E94DCD"/>
  </w:style>
  <w:style w:type="character" w:customStyle="1" w:styleId="GruformelZchn">
    <w:name w:val="Grußformel Zchn"/>
    <w:link w:val="Gruformel"/>
    <w:uiPriority w:val="99"/>
    <w:semiHidden/>
    <w:rsid w:val="00D44150"/>
    <w:rPr>
      <w:rFonts w:ascii="Arial Narrow" w:hAnsi="Arial Narrow" w:cs="Times New Roman"/>
    </w:rPr>
  </w:style>
  <w:style w:type="character" w:styleId="Hervorhebung">
    <w:name w:val="Emphasis"/>
    <w:uiPriority w:val="50"/>
    <w:qFormat/>
    <w:rsid w:val="001665A6"/>
    <w:rPr>
      <w:rFonts w:asciiTheme="majorHAnsi" w:hAnsiTheme="majorHAnsi"/>
      <w:b w:val="0"/>
      <w:iCs/>
      <w:color w:val="66CC33" w:themeColor="accent1"/>
    </w:rPr>
  </w:style>
  <w:style w:type="paragraph" w:styleId="HTMLAdresse">
    <w:name w:val="HTML Address"/>
    <w:basedOn w:val="Standard"/>
    <w:link w:val="HTMLAdresseZchn"/>
    <w:uiPriority w:val="99"/>
    <w:semiHidden/>
    <w:rsid w:val="00E94DCD"/>
    <w:rPr>
      <w:i/>
      <w:iCs/>
    </w:rPr>
  </w:style>
  <w:style w:type="character" w:customStyle="1" w:styleId="HTMLAdresseZchn">
    <w:name w:val="HTML Adresse Zchn"/>
    <w:link w:val="HTMLAdresse"/>
    <w:uiPriority w:val="99"/>
    <w:semiHidden/>
    <w:rsid w:val="00D44150"/>
    <w:rPr>
      <w:rFonts w:ascii="Arial Narrow" w:hAnsi="Arial Narrow" w:cs="Times New Roman"/>
      <w:i/>
      <w:iCs/>
    </w:rPr>
  </w:style>
  <w:style w:type="character" w:styleId="HTMLAkronym">
    <w:name w:val="HTML Acronym"/>
    <w:basedOn w:val="Absatz-Standardschriftart"/>
    <w:uiPriority w:val="99"/>
    <w:semiHidden/>
    <w:rsid w:val="00E94DCD"/>
  </w:style>
  <w:style w:type="character" w:styleId="HTMLBeispiel">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Schreibmaschine">
    <w:name w:val="HTML Typewriter"/>
    <w:uiPriority w:val="99"/>
    <w:semiHidden/>
    <w:rsid w:val="00E94DCD"/>
    <w:rPr>
      <w:rFonts w:ascii="Courier New" w:hAnsi="Courier New"/>
      <w:sz w:val="20"/>
      <w:szCs w:val="20"/>
    </w:rPr>
  </w:style>
  <w:style w:type="character" w:styleId="HTMLTastatur">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Vorformatiert">
    <w:name w:val="HTML Preformatted"/>
    <w:basedOn w:val="Standard"/>
    <w:link w:val="HTMLVorformatiertZchn"/>
    <w:uiPriority w:val="99"/>
    <w:semiHidden/>
    <w:rsid w:val="00E94DCD"/>
    <w:rPr>
      <w:rFonts w:ascii="Courier New" w:hAnsi="Courier New"/>
    </w:rPr>
  </w:style>
  <w:style w:type="character" w:customStyle="1" w:styleId="HTMLVorformatiertZchn">
    <w:name w:val="HTML Vorformatiert Zchn"/>
    <w:link w:val="HTMLVorformatiert"/>
    <w:uiPriority w:val="99"/>
    <w:semiHidden/>
    <w:rsid w:val="00D44150"/>
    <w:rPr>
      <w:rFonts w:ascii="Courier New" w:hAnsi="Courier New" w:cs="Times New Roman"/>
      <w:sz w:val="20"/>
      <w:szCs w:val="20"/>
    </w:rPr>
  </w:style>
  <w:style w:type="character" w:styleId="HTMLZitat">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Standard"/>
    <w:next w:val="Standard"/>
    <w:autoRedefine/>
    <w:uiPriority w:val="99"/>
    <w:semiHidden/>
    <w:rsid w:val="00E94DCD"/>
    <w:pPr>
      <w:ind w:left="180" w:hanging="180"/>
    </w:pPr>
  </w:style>
  <w:style w:type="paragraph" w:styleId="Indexberschrift">
    <w:name w:val="index heading"/>
    <w:basedOn w:val="Standard"/>
    <w:next w:val="Index1"/>
    <w:uiPriority w:val="32"/>
    <w:semiHidden/>
    <w:unhideWhenUsed/>
    <w:rsid w:val="00E94DCD"/>
    <w:rPr>
      <w:b/>
      <w:bCs/>
    </w:rPr>
  </w:style>
  <w:style w:type="paragraph" w:styleId="Nachrichtenkopf">
    <w:name w:val="Message Header"/>
    <w:basedOn w:val="Standard"/>
    <w:link w:val="NachrichtenkopfZchn"/>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NachrichtenkopfZchn">
    <w:name w:val="Nachrichtenkopf Zchn"/>
    <w:link w:val="Nachrichtenkopf"/>
    <w:uiPriority w:val="99"/>
    <w:semiHidden/>
    <w:rsid w:val="00D44150"/>
    <w:rPr>
      <w:rFonts w:ascii="Arial Narrow" w:hAnsi="Arial Narrow" w:cs="Times New Roman"/>
      <w:sz w:val="24"/>
      <w:shd w:val="pct20" w:color="auto" w:fill="auto"/>
    </w:rPr>
  </w:style>
  <w:style w:type="character" w:styleId="SchwacheHervorhebung">
    <w:name w:val="Subtle Emphasis"/>
    <w:uiPriority w:val="99"/>
    <w:semiHidden/>
    <w:qFormat/>
    <w:rsid w:val="00703360"/>
    <w:rPr>
      <w:b/>
      <w:iCs/>
      <w:color w:val="auto"/>
    </w:rPr>
  </w:style>
  <w:style w:type="character" w:styleId="SchwacherVerweis">
    <w:name w:val="Subtle Reference"/>
    <w:uiPriority w:val="99"/>
    <w:semiHidden/>
    <w:qFormat/>
    <w:rsid w:val="00E94DCD"/>
    <w:rPr>
      <w:color w:val="auto"/>
      <w:u w:val="single"/>
    </w:rPr>
  </w:style>
  <w:style w:type="paragraph" w:styleId="StandardWeb">
    <w:name w:val="Normal (Web)"/>
    <w:basedOn w:val="Standard"/>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Standardeinzug">
    <w:name w:val="Normal Indent"/>
    <w:basedOn w:val="Standard"/>
    <w:uiPriority w:val="99"/>
    <w:semiHidden/>
    <w:rsid w:val="00E94DCD"/>
    <w:pPr>
      <w:ind w:left="454"/>
    </w:pPr>
  </w:style>
  <w:style w:type="table" w:styleId="Tabelle3D-Effekt1">
    <w:name w:val="Table 3D effects 1"/>
    <w:basedOn w:val="NormaleTabelle"/>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nraster">
    <w:name w:val="Table Grid"/>
    <w:basedOn w:val="NormaleTabelle"/>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elZchn">
    <w:name w:val="Titel Zchn"/>
    <w:link w:val="Titel"/>
    <w:uiPriority w:val="1"/>
    <w:semiHidden/>
    <w:rsid w:val="001E1FA7"/>
    <w:rPr>
      <w:rFonts w:ascii="Arial Fett" w:hAnsi="Arial Fett" w:cs="Times New Roman"/>
      <w:b/>
      <w:bCs/>
      <w:smallCaps/>
      <w:sz w:val="32"/>
      <w:szCs w:val="32"/>
    </w:rPr>
  </w:style>
  <w:style w:type="character" w:customStyle="1" w:styleId="berschrift1Zchn">
    <w:name w:val="Überschrift 1 Zchn"/>
    <w:link w:val="berschrift1"/>
    <w:uiPriority w:val="19"/>
    <w:rsid w:val="002779AB"/>
    <w:rPr>
      <w:rFonts w:asciiTheme="majorHAnsi" w:hAnsiTheme="majorHAnsi" w:cs="Arial"/>
      <w:bCs/>
      <w:sz w:val="28"/>
      <w:szCs w:val="28"/>
      <w:lang w:eastAsia="de-DE"/>
    </w:rPr>
  </w:style>
  <w:style w:type="character" w:customStyle="1" w:styleId="berschrift2Zchn">
    <w:name w:val="Überschrift 2 Zchn"/>
    <w:link w:val="berschrift2"/>
    <w:uiPriority w:val="19"/>
    <w:rsid w:val="002779AB"/>
    <w:rPr>
      <w:rFonts w:asciiTheme="majorHAnsi" w:hAnsiTheme="majorHAnsi" w:cs="Arial"/>
      <w:bCs/>
      <w:sz w:val="24"/>
      <w:szCs w:val="24"/>
      <w:lang w:eastAsia="de-DE"/>
    </w:rPr>
  </w:style>
  <w:style w:type="character" w:customStyle="1" w:styleId="berschrift3Zchn">
    <w:name w:val="Überschrift 3 Zchn"/>
    <w:link w:val="berschrift3"/>
    <w:uiPriority w:val="19"/>
    <w:rsid w:val="002779AB"/>
    <w:rPr>
      <w:rFonts w:asciiTheme="majorHAnsi" w:hAnsiTheme="majorHAnsi" w:cs="Arial"/>
      <w:szCs w:val="18"/>
      <w:lang w:eastAsia="de-DE"/>
    </w:rPr>
  </w:style>
  <w:style w:type="character" w:customStyle="1" w:styleId="berschrift4Zchn">
    <w:name w:val="Überschrift 4 Zchn"/>
    <w:link w:val="berschrift4"/>
    <w:uiPriority w:val="19"/>
    <w:rsid w:val="009E5A33"/>
    <w:rPr>
      <w:rFonts w:cs="Arial"/>
      <w:szCs w:val="18"/>
      <w:lang w:eastAsia="de-DE"/>
    </w:rPr>
  </w:style>
  <w:style w:type="character" w:customStyle="1" w:styleId="berschrift5Zchn">
    <w:name w:val="Überschrift 5 Zchn"/>
    <w:link w:val="berschrift5"/>
    <w:uiPriority w:val="19"/>
    <w:rsid w:val="000B2869"/>
    <w:rPr>
      <w:rFonts w:cs="Arial"/>
      <w:szCs w:val="18"/>
      <w:lang w:eastAsia="de-DE"/>
    </w:rPr>
  </w:style>
  <w:style w:type="character" w:customStyle="1" w:styleId="berschrift6Zchn">
    <w:name w:val="Überschrift 6 Zchn"/>
    <w:link w:val="berschrift6"/>
    <w:uiPriority w:val="19"/>
    <w:semiHidden/>
    <w:rsid w:val="001E1FA7"/>
    <w:rPr>
      <w:bCs/>
      <w:sz w:val="18"/>
      <w:lang w:eastAsia="de-DE"/>
    </w:rPr>
  </w:style>
  <w:style w:type="character" w:customStyle="1" w:styleId="berschrift7Zchn">
    <w:name w:val="Überschrift 7 Zchn"/>
    <w:link w:val="berschrift7"/>
    <w:uiPriority w:val="19"/>
    <w:semiHidden/>
    <w:rsid w:val="001E1FA7"/>
    <w:rPr>
      <w:sz w:val="18"/>
      <w:szCs w:val="24"/>
      <w:lang w:eastAsia="de-DE"/>
    </w:rPr>
  </w:style>
  <w:style w:type="character" w:customStyle="1" w:styleId="berschrift8Zchn">
    <w:name w:val="Überschrift 8 Zchn"/>
    <w:link w:val="berschrift8"/>
    <w:uiPriority w:val="19"/>
    <w:semiHidden/>
    <w:rsid w:val="001E1FA7"/>
    <w:rPr>
      <w:iCs/>
      <w:sz w:val="18"/>
      <w:szCs w:val="24"/>
      <w:lang w:eastAsia="de-DE"/>
    </w:rPr>
  </w:style>
  <w:style w:type="character" w:customStyle="1" w:styleId="berschrift9Zchn">
    <w:name w:val="Überschrift 9 Zchn"/>
    <w:link w:val="berschrift9"/>
    <w:uiPriority w:val="19"/>
    <w:semiHidden/>
    <w:rsid w:val="001E1FA7"/>
    <w:rPr>
      <w:sz w:val="18"/>
      <w:lang w:eastAsia="de-DE"/>
    </w:rPr>
  </w:style>
  <w:style w:type="paragraph" w:styleId="Untertitel">
    <w:name w:val="Subtitle"/>
    <w:basedOn w:val="Standard"/>
    <w:next w:val="Standard"/>
    <w:link w:val="UntertitelZchn"/>
    <w:uiPriority w:val="2"/>
    <w:semiHidden/>
    <w:qFormat/>
    <w:rsid w:val="00E94DCD"/>
    <w:pPr>
      <w:spacing w:after="60"/>
      <w:contextualSpacing/>
      <w:outlineLvl w:val="1"/>
    </w:pPr>
    <w:rPr>
      <w:sz w:val="24"/>
    </w:rPr>
  </w:style>
  <w:style w:type="character" w:customStyle="1" w:styleId="UntertitelZchn">
    <w:name w:val="Untertitel Zchn"/>
    <w:link w:val="Untertitel"/>
    <w:uiPriority w:val="2"/>
    <w:semiHidden/>
    <w:rsid w:val="001E1FA7"/>
    <w:rPr>
      <w:rFonts w:ascii="Arial Narrow" w:hAnsi="Arial Narrow" w:cs="Times New Roman"/>
      <w:sz w:val="24"/>
    </w:rPr>
  </w:style>
  <w:style w:type="paragraph" w:styleId="Verzeichnis1">
    <w:name w:val="toc 1"/>
    <w:basedOn w:val="Standard"/>
    <w:next w:val="Standard"/>
    <w:uiPriority w:val="39"/>
    <w:unhideWhenUsed/>
    <w:rsid w:val="00A32015"/>
    <w:pPr>
      <w:ind w:left="454" w:right="284" w:hanging="454"/>
    </w:pPr>
    <w:rPr>
      <w:rFonts w:asciiTheme="majorHAnsi" w:hAnsiTheme="majorHAnsi"/>
    </w:rPr>
  </w:style>
  <w:style w:type="paragraph" w:styleId="Verzeichnis2">
    <w:name w:val="toc 2"/>
    <w:basedOn w:val="Standard"/>
    <w:next w:val="Standard"/>
    <w:uiPriority w:val="39"/>
    <w:unhideWhenUsed/>
    <w:rsid w:val="00A32015"/>
    <w:pPr>
      <w:ind w:left="1134" w:right="284" w:hanging="680"/>
    </w:pPr>
  </w:style>
  <w:style w:type="paragraph" w:styleId="Verzeichnis3">
    <w:name w:val="toc 3"/>
    <w:basedOn w:val="Standard"/>
    <w:next w:val="Standard"/>
    <w:uiPriority w:val="39"/>
    <w:unhideWhenUsed/>
    <w:rsid w:val="00A32015"/>
    <w:pPr>
      <w:ind w:left="1134" w:right="284" w:hanging="680"/>
    </w:pPr>
  </w:style>
  <w:style w:type="paragraph" w:styleId="Verzeichnis4">
    <w:name w:val="toc 4"/>
    <w:basedOn w:val="Standard"/>
    <w:next w:val="Standard"/>
    <w:autoRedefine/>
    <w:uiPriority w:val="30"/>
    <w:semiHidden/>
    <w:rsid w:val="00DB58D5"/>
    <w:pPr>
      <w:ind w:left="737" w:hanging="737"/>
    </w:pPr>
  </w:style>
  <w:style w:type="paragraph" w:styleId="Verzeichnis5">
    <w:name w:val="toc 5"/>
    <w:basedOn w:val="Standard"/>
    <w:next w:val="Standard"/>
    <w:autoRedefine/>
    <w:uiPriority w:val="30"/>
    <w:semiHidden/>
    <w:rsid w:val="00DB58D5"/>
    <w:pPr>
      <w:ind w:left="1009" w:hanging="1009"/>
    </w:pPr>
  </w:style>
  <w:style w:type="paragraph" w:styleId="Verzeichnis6">
    <w:name w:val="toc 6"/>
    <w:basedOn w:val="Standard"/>
    <w:next w:val="Standard"/>
    <w:autoRedefine/>
    <w:uiPriority w:val="30"/>
    <w:semiHidden/>
    <w:rsid w:val="00DB58D5"/>
    <w:pPr>
      <w:ind w:left="1151" w:hanging="1151"/>
    </w:pPr>
  </w:style>
  <w:style w:type="paragraph" w:styleId="Verzeichnis7">
    <w:name w:val="toc 7"/>
    <w:basedOn w:val="Standard"/>
    <w:next w:val="Standard"/>
    <w:autoRedefine/>
    <w:uiPriority w:val="30"/>
    <w:semiHidden/>
    <w:rsid w:val="00DB58D5"/>
    <w:pPr>
      <w:ind w:left="1298" w:hanging="1298"/>
    </w:pPr>
  </w:style>
  <w:style w:type="paragraph" w:styleId="Verzeichnis8">
    <w:name w:val="toc 8"/>
    <w:basedOn w:val="Standard"/>
    <w:next w:val="Standard"/>
    <w:autoRedefine/>
    <w:uiPriority w:val="30"/>
    <w:semiHidden/>
    <w:rsid w:val="00DB58D5"/>
    <w:pPr>
      <w:ind w:left="1440" w:hanging="1440"/>
    </w:pPr>
  </w:style>
  <w:style w:type="paragraph" w:styleId="Verzeichnis9">
    <w:name w:val="toc 9"/>
    <w:basedOn w:val="Standard"/>
    <w:next w:val="Standard"/>
    <w:autoRedefine/>
    <w:uiPriority w:val="30"/>
    <w:semiHidden/>
    <w:rsid w:val="00DB58D5"/>
    <w:pPr>
      <w:ind w:left="1582" w:hanging="1582"/>
    </w:pPr>
  </w:style>
  <w:style w:type="character" w:styleId="IntensiveHervorhebung">
    <w:name w:val="Intense Emphasis"/>
    <w:uiPriority w:val="50"/>
    <w:qFormat/>
    <w:rsid w:val="001665A6"/>
    <w:rPr>
      <w:rFonts w:asciiTheme="majorHAnsi" w:hAnsiTheme="majorHAnsi"/>
      <w:b w:val="0"/>
      <w:bCs/>
      <w:iCs/>
      <w:caps/>
      <w:color w:val="66CC33" w:themeColor="accent1"/>
    </w:rPr>
  </w:style>
  <w:style w:type="paragraph" w:styleId="Listenabsatz">
    <w:name w:val="List Paragraph"/>
    <w:basedOn w:val="Standard"/>
    <w:uiPriority w:val="99"/>
    <w:semiHidden/>
    <w:unhideWhenUsed/>
    <w:rsid w:val="00DB58D5"/>
    <w:pPr>
      <w:ind w:left="720"/>
      <w:contextualSpacing/>
    </w:pPr>
  </w:style>
  <w:style w:type="paragraph" w:styleId="Listenfortsetzung">
    <w:name w:val="List Continue"/>
    <w:basedOn w:val="Standard"/>
    <w:uiPriority w:val="99"/>
    <w:semiHidden/>
    <w:unhideWhenUsed/>
    <w:rsid w:val="003E3705"/>
    <w:pPr>
      <w:spacing w:line="270" w:lineRule="atLeast"/>
      <w:ind w:left="1191" w:right="2552" w:hanging="794"/>
      <w:contextualSpacing/>
    </w:pPr>
    <w:rPr>
      <w:rFonts w:ascii="ATP Univers" w:hAnsi="ATP Univers"/>
      <w:lang w:val="de-DE"/>
    </w:rPr>
  </w:style>
  <w:style w:type="paragraph" w:styleId="Listenfortsetzung2">
    <w:name w:val="List Continue 2"/>
    <w:basedOn w:val="Standard"/>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uzeile"/>
    <w:uiPriority w:val="9"/>
    <w:rsid w:val="00DB58D5"/>
    <w:pPr>
      <w:jc w:val="center"/>
    </w:pPr>
  </w:style>
  <w:style w:type="paragraph" w:customStyle="1" w:styleId="BulletpointsLevel1">
    <w:name w:val="Bulletpoints Level 1"/>
    <w:basedOn w:val="Standard"/>
    <w:uiPriority w:val="3"/>
    <w:qFormat/>
    <w:rsid w:val="00E37B1D"/>
    <w:pPr>
      <w:numPr>
        <w:numId w:val="5"/>
      </w:numPr>
      <w:tabs>
        <w:tab w:val="num" w:pos="360"/>
        <w:tab w:val="right" w:pos="454"/>
      </w:tabs>
      <w:spacing w:before="60"/>
      <w:ind w:left="0" w:firstLine="0"/>
    </w:pPr>
  </w:style>
  <w:style w:type="paragraph" w:customStyle="1" w:styleId="BulletpointsLevel2">
    <w:name w:val="Bulletpoints Level 2"/>
    <w:basedOn w:val="Standard"/>
    <w:uiPriority w:val="4"/>
    <w:qFormat/>
    <w:rsid w:val="00DB58D5"/>
    <w:pPr>
      <w:numPr>
        <w:ilvl w:val="1"/>
        <w:numId w:val="5"/>
      </w:numPr>
      <w:tabs>
        <w:tab w:val="num" w:pos="360"/>
      </w:tabs>
      <w:ind w:left="0" w:firstLine="0"/>
    </w:pPr>
  </w:style>
  <w:style w:type="paragraph" w:customStyle="1" w:styleId="Lettering">
    <w:name w:val="Lettering"/>
    <w:basedOn w:val="Standard"/>
    <w:uiPriority w:val="5"/>
    <w:qFormat/>
    <w:rsid w:val="00DB58D5"/>
    <w:pPr>
      <w:numPr>
        <w:numId w:val="11"/>
      </w:numPr>
      <w:spacing w:before="60"/>
    </w:pPr>
  </w:style>
  <w:style w:type="paragraph" w:customStyle="1" w:styleId="noBulletpoint">
    <w:name w:val="noBulletpoint"/>
    <w:basedOn w:val="Standard"/>
    <w:uiPriority w:val="4"/>
    <w:qFormat/>
    <w:rsid w:val="00DB58D5"/>
    <w:pPr>
      <w:numPr>
        <w:ilvl w:val="2"/>
        <w:numId w:val="5"/>
      </w:numPr>
      <w:tabs>
        <w:tab w:val="num" w:pos="360"/>
      </w:tabs>
      <w:spacing w:before="60"/>
    </w:pPr>
  </w:style>
  <w:style w:type="paragraph" w:customStyle="1" w:styleId="Numbering">
    <w:name w:val="Numbering"/>
    <w:basedOn w:val="Standard"/>
    <w:uiPriority w:val="6"/>
    <w:qFormat/>
    <w:rsid w:val="00DB58D5"/>
    <w:pPr>
      <w:numPr>
        <w:numId w:val="10"/>
      </w:numPr>
      <w:spacing w:before="60"/>
    </w:pPr>
  </w:style>
  <w:style w:type="paragraph" w:customStyle="1" w:styleId="SensirionSubtitle">
    <w:name w:val="Sensirion Subtitle"/>
    <w:basedOn w:val="Standard"/>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Standard"/>
    <w:uiPriority w:val="1"/>
    <w:qFormat/>
    <w:rsid w:val="002779AB"/>
    <w:pPr>
      <w:spacing w:line="320" w:lineRule="exact"/>
      <w:contextualSpacing/>
    </w:pPr>
    <w:rPr>
      <w:rFonts w:asciiTheme="majorHAnsi" w:hAnsiTheme="majorHAnsi"/>
      <w:sz w:val="28"/>
    </w:rPr>
  </w:style>
  <w:style w:type="paragraph" w:customStyle="1" w:styleId="Marginale">
    <w:name w:val="Marginale"/>
    <w:basedOn w:val="Standard"/>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Standard"/>
    <w:uiPriority w:val="8"/>
    <w:qFormat/>
    <w:rsid w:val="00DB58D5"/>
    <w:pPr>
      <w:ind w:right="2835"/>
    </w:pPr>
  </w:style>
  <w:style w:type="paragraph" w:styleId="Abbildungsverzeichnis">
    <w:name w:val="table of figures"/>
    <w:basedOn w:val="Standard"/>
    <w:next w:val="Standard"/>
    <w:uiPriority w:val="99"/>
    <w:unhideWhenUsed/>
    <w:rsid w:val="00DB58D5"/>
    <w:pPr>
      <w:ind w:right="284"/>
    </w:pPr>
  </w:style>
  <w:style w:type="paragraph" w:styleId="Zitat">
    <w:name w:val="Quote"/>
    <w:basedOn w:val="Standard"/>
    <w:next w:val="Standard"/>
    <w:link w:val="ZitatZchn"/>
    <w:uiPriority w:val="99"/>
    <w:semiHidden/>
    <w:rsid w:val="00DB58D5"/>
    <w:rPr>
      <w:i/>
      <w:iCs/>
      <w:color w:val="000000"/>
    </w:rPr>
  </w:style>
  <w:style w:type="character" w:customStyle="1" w:styleId="ZitatZchn">
    <w:name w:val="Zitat Zchn"/>
    <w:link w:val="Zitat"/>
    <w:uiPriority w:val="99"/>
    <w:semiHidden/>
    <w:rsid w:val="00D44150"/>
    <w:rPr>
      <w:rFonts w:ascii="Arial Narrow" w:hAnsi="Arial Narrow" w:cs="Times New Roman"/>
      <w:i/>
      <w:iCs/>
      <w:color w:val="000000"/>
    </w:rPr>
  </w:style>
  <w:style w:type="paragraph" w:styleId="Endnotentext">
    <w:name w:val="endnote text"/>
    <w:basedOn w:val="Standard"/>
    <w:link w:val="EndnotentextZchn"/>
    <w:uiPriority w:val="49"/>
    <w:semiHidden/>
    <w:unhideWhenUsed/>
    <w:rsid w:val="00DB58D5"/>
  </w:style>
  <w:style w:type="character" w:customStyle="1" w:styleId="EndnotentextZchn">
    <w:name w:val="Endnotentext Zchn"/>
    <w:link w:val="Endnotentext"/>
    <w:uiPriority w:val="49"/>
    <w:semiHidden/>
    <w:rsid w:val="001E1FA7"/>
    <w:rPr>
      <w:rFonts w:ascii="Arial Narrow" w:hAnsi="Arial Narrow" w:cs="Times New Roman"/>
      <w:sz w:val="20"/>
    </w:rPr>
  </w:style>
  <w:style w:type="character" w:styleId="Endnotenzeichen">
    <w:name w:val="endnote reference"/>
    <w:uiPriority w:val="49"/>
    <w:semiHidden/>
    <w:unhideWhenUsed/>
    <w:rsid w:val="00DB58D5"/>
    <w:rPr>
      <w:color w:val="auto"/>
      <w:vertAlign w:val="superscript"/>
    </w:rPr>
  </w:style>
  <w:style w:type="paragraph" w:styleId="Funotentext">
    <w:name w:val="footnote text"/>
    <w:basedOn w:val="Standard"/>
    <w:link w:val="FunotentextZchn"/>
    <w:uiPriority w:val="49"/>
    <w:semiHidden/>
    <w:unhideWhenUsed/>
    <w:rsid w:val="00DB58D5"/>
  </w:style>
  <w:style w:type="character" w:customStyle="1" w:styleId="FunotentextZchn">
    <w:name w:val="Fußnotentext Zchn"/>
    <w:link w:val="Funotentext"/>
    <w:uiPriority w:val="49"/>
    <w:semiHidden/>
    <w:rsid w:val="001E1FA7"/>
    <w:rPr>
      <w:rFonts w:ascii="Arial Narrow" w:hAnsi="Arial Narrow" w:cs="Times New Roman"/>
      <w:sz w:val="20"/>
    </w:rPr>
  </w:style>
  <w:style w:type="character" w:styleId="Funotenzeichen">
    <w:name w:val="footnote reference"/>
    <w:uiPriority w:val="49"/>
    <w:semiHidden/>
    <w:unhideWhenUsed/>
    <w:rsid w:val="00DB58D5"/>
    <w:rPr>
      <w:color w:val="auto"/>
      <w:vertAlign w:val="superscript"/>
    </w:rPr>
  </w:style>
  <w:style w:type="table" w:styleId="HelleSchattierung-Akzent2">
    <w:name w:val="Light Shading Accent 2"/>
    <w:aliases w:val="SEN: Tabelle warm grey"/>
    <w:basedOn w:val="NormaleTabelle"/>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Inhaltsverzeichnisberschrift">
    <w:name w:val="TOC Heading"/>
    <w:basedOn w:val="berschrift1"/>
    <w:next w:val="Standard"/>
    <w:uiPriority w:val="39"/>
    <w:rsid w:val="00DB58D5"/>
    <w:pPr>
      <w:keepLines/>
      <w:numPr>
        <w:numId w:val="0"/>
      </w:numPr>
      <w:spacing w:before="240" w:line="240" w:lineRule="auto"/>
      <w:outlineLvl w:val="9"/>
    </w:pPr>
    <w:rPr>
      <w:rFonts w:cs="Times New Roman"/>
      <w:bCs w:val="0"/>
    </w:rPr>
  </w:style>
  <w:style w:type="table" w:styleId="MittlereListe1-Akzent2">
    <w:name w:val="Medium List 1 Accent 2"/>
    <w:basedOn w:val="NormaleTabelle"/>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Seitenzahl">
    <w:name w:val="page number"/>
    <w:basedOn w:val="Absatz-Standardschriftart"/>
    <w:uiPriority w:val="15"/>
    <w:semiHidden/>
    <w:rsid w:val="00DB58D5"/>
  </w:style>
  <w:style w:type="numbering" w:customStyle="1" w:styleId="SensirionListealt">
    <w:name w:val="Sensirion Liste alt"/>
    <w:uiPriority w:val="99"/>
    <w:rsid w:val="00DB58D5"/>
    <w:pPr>
      <w:numPr>
        <w:numId w:val="3"/>
      </w:numPr>
    </w:pPr>
  </w:style>
  <w:style w:type="paragraph" w:styleId="Sprechblasentext">
    <w:name w:val="Balloon Text"/>
    <w:basedOn w:val="Standard"/>
    <w:link w:val="SprechblasentextZchn"/>
    <w:uiPriority w:val="99"/>
    <w:semiHidden/>
    <w:unhideWhenUsed/>
    <w:rsid w:val="00DB58D5"/>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D44150"/>
    <w:rPr>
      <w:rFonts w:ascii="Tahoma" w:hAnsi="Tahoma" w:cs="Tahoma"/>
      <w:sz w:val="16"/>
      <w:szCs w:val="16"/>
    </w:rPr>
  </w:style>
  <w:style w:type="paragraph" w:styleId="Aufzhlungszeichen">
    <w:name w:val="List Bullet"/>
    <w:basedOn w:val="Standard"/>
    <w:uiPriority w:val="99"/>
    <w:unhideWhenUsed/>
    <w:rsid w:val="00C3756F"/>
    <w:pPr>
      <w:numPr>
        <w:ilvl w:val="3"/>
        <w:numId w:val="5"/>
      </w:numPr>
      <w:spacing w:before="60"/>
      <w:contextualSpacing/>
    </w:pPr>
  </w:style>
  <w:style w:type="character" w:styleId="NichtaufgelsteErwhnung">
    <w:name w:val="Unresolved Mention"/>
    <w:basedOn w:val="Absatz-Standardschriftart"/>
    <w:uiPriority w:val="99"/>
    <w:semiHidden/>
    <w:unhideWhenUsed/>
    <w:rsid w:val="00840AA5"/>
    <w:rPr>
      <w:color w:val="605E5C"/>
      <w:shd w:val="clear" w:color="auto" w:fill="E1DFDD"/>
    </w:rPr>
  </w:style>
  <w:style w:type="character" w:styleId="Fett">
    <w:name w:val="Strong"/>
    <w:basedOn w:val="Absatz-Standardschriftar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character" w:styleId="Kommentarzeichen">
    <w:name w:val="annotation reference"/>
    <w:basedOn w:val="Absatz-Standardschriftart"/>
    <w:uiPriority w:val="99"/>
    <w:semiHidden/>
    <w:unhideWhenUsed/>
    <w:rsid w:val="00B22F78"/>
    <w:rPr>
      <w:sz w:val="16"/>
      <w:szCs w:val="16"/>
    </w:rPr>
  </w:style>
  <w:style w:type="paragraph" w:styleId="Kommentartext">
    <w:name w:val="annotation text"/>
    <w:basedOn w:val="Standard"/>
    <w:link w:val="KommentartextZchn"/>
    <w:uiPriority w:val="99"/>
    <w:unhideWhenUsed/>
    <w:rsid w:val="00B22F78"/>
    <w:pPr>
      <w:spacing w:line="240" w:lineRule="auto"/>
    </w:pPr>
  </w:style>
  <w:style w:type="character" w:customStyle="1" w:styleId="KommentartextZchn">
    <w:name w:val="Kommentartext Zchn"/>
    <w:basedOn w:val="Absatz-Standardschriftart"/>
    <w:link w:val="Kommentartext"/>
    <w:uiPriority w:val="99"/>
    <w:rsid w:val="00B22F78"/>
  </w:style>
  <w:style w:type="paragraph" w:styleId="Kommentarthema">
    <w:name w:val="annotation subject"/>
    <w:basedOn w:val="Kommentartext"/>
    <w:next w:val="Kommentartext"/>
    <w:link w:val="KommentarthemaZchn"/>
    <w:uiPriority w:val="99"/>
    <w:semiHidden/>
    <w:unhideWhenUsed/>
    <w:rsid w:val="00B22F78"/>
    <w:rPr>
      <w:b/>
      <w:bCs/>
    </w:rPr>
  </w:style>
  <w:style w:type="character" w:customStyle="1" w:styleId="KommentarthemaZchn">
    <w:name w:val="Kommentarthema Zchn"/>
    <w:basedOn w:val="KommentartextZchn"/>
    <w:link w:val="Kommentarthema"/>
    <w:uiPriority w:val="99"/>
    <w:semiHidden/>
    <w:rsid w:val="00B22F78"/>
    <w:rPr>
      <w:b/>
      <w:bCs/>
    </w:rPr>
  </w:style>
  <w:style w:type="character" w:styleId="Erwhnung">
    <w:name w:val="Mention"/>
    <w:basedOn w:val="Absatz-Standardschriftart"/>
    <w:uiPriority w:val="99"/>
    <w:unhideWhenUsed/>
    <w:rsid w:val="00B22F78"/>
    <w:rPr>
      <w:color w:val="2B579A"/>
      <w:shd w:val="clear" w:color="auto" w:fill="E1DFDD"/>
    </w:rPr>
  </w:style>
  <w:style w:type="paragraph" w:styleId="berarbeitung">
    <w:name w:val="Revision"/>
    <w:hidden/>
    <w:uiPriority w:val="99"/>
    <w:semiHidden/>
    <w:rsid w:val="000F03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https://sensinet.sharepoint.com/sites/AZ-365-S00000603/Shared%20Documents/General/Press/01_Templates/Holding_Medienmitteilung_DE.dotx?OR=81dd2b71-fb82-4b33-ac71-fed46bf0f87a&amp;CID=514609a2-40c2-0001-5247-64b29a97332a&amp;CT=1776006306974"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abecb2-966d-44cb-b246-a4b91e0a39eb">
      <Terms xmlns="http://schemas.microsoft.com/office/infopath/2007/PartnerControls"/>
    </lcf76f155ced4ddcb4097134ff3c332f>
    <TaxCatchAll xmlns="7356de10-6ff8-4377-b220-392ca2b18f8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D078F2A8263E1459D24A1507EDCA8CF" ma:contentTypeVersion="16" ma:contentTypeDescription="Create a new document." ma:contentTypeScope="" ma:versionID="c499e554397d2911463353f74b94a769">
  <xsd:schema xmlns:xsd="http://www.w3.org/2001/XMLSchema" xmlns:xs="http://www.w3.org/2001/XMLSchema" xmlns:p="http://schemas.microsoft.com/office/2006/metadata/properties" xmlns:ns2="9b096da1-55ae-40f0-828e-d96caf0055d1" xmlns:ns3="0aabecb2-966d-44cb-b246-a4b91e0a39eb" xmlns:ns4="7356de10-6ff8-4377-b220-392ca2b18f81" targetNamespace="http://schemas.microsoft.com/office/2006/metadata/properties" ma:root="true" ma:fieldsID="f65f4b8c438fba5c3d353371e63b9381" ns2:_="" ns3:_="" ns4:_="">
    <xsd:import namespace="9b096da1-55ae-40f0-828e-d96caf0055d1"/>
    <xsd:import namespace="0aabecb2-966d-44cb-b246-a4b91e0a39eb"/>
    <xsd:import namespace="7356de10-6ff8-4377-b220-392ca2b18f8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096da1-55ae-40f0-828e-d96caf0055d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abecb2-966d-44cb-b246-a4b91e0a39e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6de10-6ff8-4377-b220-392ca2b18f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1616522-e9f7-47ae-bd46-bb7c804931c5}" ma:internalName="TaxCatchAll" ma:showField="CatchAllData" ma:web="7356de10-6ff8-4377-b220-392ca2b18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0aabecb2-966d-44cb-b246-a4b91e0a39eb"/>
    <ds:schemaRef ds:uri="7356de10-6ff8-4377-b220-392ca2b18f81"/>
  </ds:schemaRefs>
</ds:datastoreItem>
</file>

<file path=customXml/itemProps2.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3.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4.xml><?xml version="1.0" encoding="utf-8"?>
<ds:datastoreItem xmlns:ds="http://schemas.openxmlformats.org/officeDocument/2006/customXml" ds:itemID="{0A387E99-E713-4F51-95A3-EAAE9326B93B}"/>
</file>

<file path=docProps/app.xml><?xml version="1.0" encoding="utf-8"?>
<Properties xmlns="http://schemas.openxmlformats.org/officeDocument/2006/extended-properties" xmlns:vt="http://schemas.openxmlformats.org/officeDocument/2006/docPropsVTypes">
  <Template>Holding_Medienmitteilung_DE.dotx?OR=81dd2b71-fb82-4b33-ac71-fed46bf0f87a&amp;CID=514609a2-40c2-0001-5247-64b29a97332a&amp;CT=1776006306974</Template>
  <TotalTime>0</TotalTime>
  <Pages>2</Pages>
  <Words>725</Words>
  <Characters>5709</Characters>
  <Application>Microsoft Office Word</Application>
  <DocSecurity>0</DocSecurity>
  <Lines>105</Lines>
  <Paragraphs>33</Paragraphs>
  <ScaleCrop>false</ScaleCrop>
  <HeadingPairs>
    <vt:vector size="2" baseType="variant">
      <vt:variant>
        <vt:lpstr>Title</vt:lpstr>
      </vt:variant>
      <vt:variant>
        <vt:i4>1</vt:i4>
      </vt:variant>
    </vt:vector>
  </HeadingPairs>
  <TitlesOfParts>
    <vt:vector size="1" baseType="lpstr">
      <vt:lpstr>Word Template</vt:lpstr>
    </vt:vector>
  </TitlesOfParts>
  <Company/>
  <LinksUpToDate>false</LinksUpToDate>
  <CharactersWithSpaces>6401</CharactersWithSpaces>
  <SharedDoc>false</SharedDoc>
  <HLinks>
    <vt:vector size="30" baseType="variant">
      <vt:variant>
        <vt:i4>5046340</vt:i4>
      </vt:variant>
      <vt:variant>
        <vt:i4>12</vt:i4>
      </vt:variant>
      <vt:variant>
        <vt:i4>0</vt:i4>
      </vt:variant>
      <vt:variant>
        <vt:i4>5</vt:i4>
      </vt:variant>
      <vt:variant>
        <vt:lpwstr>http://www.sensirion.com/additional-performance-measures</vt:lpwstr>
      </vt:variant>
      <vt:variant>
        <vt:lpwstr/>
      </vt:variant>
      <vt:variant>
        <vt:i4>5636122</vt:i4>
      </vt:variant>
      <vt:variant>
        <vt:i4>9</vt:i4>
      </vt:variant>
      <vt:variant>
        <vt:i4>0</vt:i4>
      </vt:variant>
      <vt:variant>
        <vt:i4>5</vt:i4>
      </vt:variant>
      <vt:variant>
        <vt:lpwstr>http://www.sensirion.com/</vt:lpwstr>
      </vt:variant>
      <vt:variant>
        <vt:lpwstr/>
      </vt:variant>
      <vt:variant>
        <vt:i4>6094892</vt:i4>
      </vt:variant>
      <vt:variant>
        <vt:i4>6</vt:i4>
      </vt:variant>
      <vt:variant>
        <vt:i4>0</vt:i4>
      </vt:variant>
      <vt:variant>
        <vt:i4>5</vt:i4>
      </vt:variant>
      <vt:variant>
        <vt:lpwstr>mailto:lars.duennhaupt@sensirion.com</vt:lpwstr>
      </vt:variant>
      <vt:variant>
        <vt:lpwstr/>
      </vt:variant>
      <vt:variant>
        <vt:i4>5308422</vt:i4>
      </vt:variant>
      <vt:variant>
        <vt:i4>3</vt:i4>
      </vt:variant>
      <vt:variant>
        <vt:i4>0</vt:i4>
      </vt:variant>
      <vt:variant>
        <vt:i4>5</vt:i4>
      </vt:variant>
      <vt:variant>
        <vt:lpwstr>https://sensirion.com/company/investor-relations</vt:lpwstr>
      </vt:variant>
      <vt:variant>
        <vt:lpwstr/>
      </vt:variant>
      <vt:variant>
        <vt:i4>3538982</vt:i4>
      </vt:variant>
      <vt:variant>
        <vt:i4>0</vt:i4>
      </vt:variant>
      <vt:variant>
        <vt:i4>0</vt:i4>
      </vt:variant>
      <vt:variant>
        <vt:i4>5</vt:i4>
      </vt:variant>
      <vt:variant>
        <vt:lpwstr>https://attendee.gotowebinar.com/register/5505523454330999893?source=pr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Barbara Thurnherr</dc:creator>
  <cp:keywords/>
  <dc:description/>
  <cp:lastModifiedBy>Marc von Waldkirch</cp:lastModifiedBy>
  <cp:revision>144</cp:revision>
  <cp:lastPrinted>2023-10-09T08:18:00Z</cp:lastPrinted>
  <dcterms:created xsi:type="dcterms:W3CDTF">2026-04-12T15:05:00Z</dcterms:created>
  <dcterms:modified xsi:type="dcterms:W3CDTF">2026-04-13T14:10:00Z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0x010100DD078F2A8263E1459D24A1507EDCA8CF</vt:lpwstr>
  </property>
  <property fmtid="{D5CDD505-2E9C-101B-9397-08002B2CF9AE}" pid="4" name="MSIP_Label_8b833d12-c387-4ee1-b3ed-d59690047b70_Enabled">
    <vt:lpwstr>true</vt:lpwstr>
  </property>
  <property fmtid="{D5CDD505-2E9C-101B-9397-08002B2CF9AE}" pid="5" name="MSIP_Label_8b833d12-c387-4ee1-b3ed-d59690047b70_SetDate">
    <vt:lpwstr>2026-04-12T15:05:42Z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42edab55-1bf1-43bf-98c5-ab6c7955e3e8</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ies>
</file>