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C477F0" w14:textId="77777777" w:rsidR="00C36958" w:rsidRPr="00C36958" w:rsidRDefault="00C36958" w:rsidP="00C36958">
      <w:pPr>
        <w:rPr>
          <w:rFonts w:asciiTheme="majorHAnsi" w:hAnsiTheme="majorHAnsi"/>
          <w:lang w:eastAsia="de-DE"/>
        </w:rPr>
      </w:pPr>
      <w:r w:rsidRPr="00C36958">
        <w:rPr>
          <w:rFonts w:asciiTheme="majorHAnsi" w:hAnsiTheme="majorHAnsi"/>
          <w:lang w:eastAsia="de-DE"/>
        </w:rPr>
        <w:t>Media release</w:t>
      </w:r>
    </w:p>
    <w:p w14:paraId="1B3A0EE0" w14:textId="7961951B" w:rsidR="00C36958" w:rsidRPr="00676F5C" w:rsidRDefault="00DB70B8" w:rsidP="00C36958">
      <w:pPr>
        <w:rPr>
          <w:lang w:eastAsia="de-DE"/>
        </w:rPr>
      </w:pPr>
      <w:r w:rsidRPr="00676F5C">
        <w:rPr>
          <w:lang w:eastAsia="de-DE"/>
        </w:rPr>
        <w:t xml:space="preserve">August </w:t>
      </w:r>
      <w:r w:rsidR="00C85242" w:rsidRPr="00676F5C">
        <w:rPr>
          <w:lang w:eastAsia="de-DE"/>
        </w:rPr>
        <w:t xml:space="preserve">19, </w:t>
      </w:r>
      <w:r w:rsidRPr="00676F5C">
        <w:rPr>
          <w:lang w:eastAsia="de-DE"/>
        </w:rPr>
        <w:t>2026</w:t>
      </w:r>
      <w:r w:rsidR="00C36958" w:rsidRPr="00676F5C">
        <w:rPr>
          <w:lang w:eastAsia="de-DE"/>
        </w:rPr>
        <w:t xml:space="preserve">, Sensirion Holding AG, 8712 </w:t>
      </w:r>
      <w:proofErr w:type="spellStart"/>
      <w:r w:rsidR="00C36958" w:rsidRPr="00676F5C">
        <w:rPr>
          <w:lang w:eastAsia="de-DE"/>
        </w:rPr>
        <w:t>Stäfa</w:t>
      </w:r>
      <w:proofErr w:type="spellEnd"/>
      <w:r w:rsidR="00C36958" w:rsidRPr="00676F5C">
        <w:rPr>
          <w:lang w:eastAsia="de-DE"/>
        </w:rPr>
        <w:t>, Switzerland</w:t>
      </w:r>
    </w:p>
    <w:p w14:paraId="1D59754E" w14:textId="77777777" w:rsidR="005B1B49" w:rsidRPr="00C36958" w:rsidRDefault="00C36958" w:rsidP="00C36958">
      <w:pPr>
        <w:rPr>
          <w:lang w:eastAsia="de-DE"/>
        </w:rPr>
      </w:pPr>
      <w:r w:rsidRPr="00C36958">
        <w:rPr>
          <w:lang w:eastAsia="de-DE"/>
        </w:rPr>
        <w:t>Ad hoc announcement pursuant to Art. 53 LR</w:t>
      </w:r>
    </w:p>
    <w:p w14:paraId="0BF5E138" w14:textId="77777777" w:rsidR="00C36958" w:rsidRPr="00C36958" w:rsidRDefault="00C36958" w:rsidP="00C36958">
      <w:pPr>
        <w:pBdr>
          <w:bottom w:val="single" w:sz="6" w:space="1" w:color="auto"/>
        </w:pBdr>
        <w:rPr>
          <w:lang w:eastAsia="de-DE"/>
        </w:rPr>
      </w:pPr>
    </w:p>
    <w:p w14:paraId="72CDD770" w14:textId="77777777" w:rsidR="005B1B49" w:rsidRDefault="005B1B49" w:rsidP="005B1B49">
      <w:pPr>
        <w:rPr>
          <w:lang w:eastAsia="de-DE"/>
        </w:rPr>
      </w:pPr>
    </w:p>
    <w:p w14:paraId="5DCEE96F" w14:textId="77777777" w:rsidR="00C36958" w:rsidRPr="00C36958" w:rsidRDefault="00C36958" w:rsidP="005B1B49">
      <w:pPr>
        <w:rPr>
          <w:lang w:eastAsia="de-DE"/>
        </w:rPr>
      </w:pPr>
    </w:p>
    <w:p w14:paraId="16FE4AAC" w14:textId="4227433F" w:rsidR="005B1B49" w:rsidRDefault="00676F5C" w:rsidP="005B1B49">
      <w:pPr>
        <w:rPr>
          <w:rFonts w:asciiTheme="majorHAnsi" w:hAnsiTheme="majorHAnsi"/>
          <w:sz w:val="28"/>
          <w:lang w:eastAsia="de-DE"/>
        </w:rPr>
      </w:pPr>
      <w:r w:rsidRPr="00676F5C">
        <w:rPr>
          <w:rFonts w:asciiTheme="majorHAnsi" w:hAnsiTheme="majorHAnsi"/>
          <w:sz w:val="28"/>
          <w:lang w:eastAsia="de-DE"/>
        </w:rPr>
        <w:t xml:space="preserve">Sensirion </w:t>
      </w:r>
      <w:proofErr w:type="gramStart"/>
      <w:r w:rsidR="006018AB">
        <w:rPr>
          <w:rFonts w:asciiTheme="majorHAnsi" w:hAnsiTheme="majorHAnsi"/>
          <w:sz w:val="28"/>
          <w:lang w:eastAsia="de-DE"/>
        </w:rPr>
        <w:t>c</w:t>
      </w:r>
      <w:r w:rsidRPr="00676F5C">
        <w:rPr>
          <w:rFonts w:asciiTheme="majorHAnsi" w:hAnsiTheme="majorHAnsi"/>
          <w:sz w:val="28"/>
          <w:lang w:eastAsia="de-DE"/>
        </w:rPr>
        <w:t>ontinues on</w:t>
      </w:r>
      <w:proofErr w:type="gramEnd"/>
      <w:r w:rsidRPr="00676F5C">
        <w:rPr>
          <w:rFonts w:asciiTheme="majorHAnsi" w:hAnsiTheme="majorHAnsi"/>
          <w:sz w:val="28"/>
          <w:lang w:eastAsia="de-DE"/>
        </w:rPr>
        <w:t xml:space="preserve"> </w:t>
      </w:r>
      <w:r w:rsidR="006018AB">
        <w:rPr>
          <w:rFonts w:asciiTheme="majorHAnsi" w:hAnsiTheme="majorHAnsi"/>
          <w:sz w:val="28"/>
          <w:lang w:eastAsia="de-DE"/>
        </w:rPr>
        <w:t>i</w:t>
      </w:r>
      <w:r w:rsidRPr="00676F5C">
        <w:rPr>
          <w:rFonts w:asciiTheme="majorHAnsi" w:hAnsiTheme="majorHAnsi"/>
          <w:sz w:val="28"/>
          <w:lang w:eastAsia="de-DE"/>
        </w:rPr>
        <w:t xml:space="preserve">ts </w:t>
      </w:r>
      <w:r w:rsidR="006018AB">
        <w:rPr>
          <w:rFonts w:asciiTheme="majorHAnsi" w:hAnsiTheme="majorHAnsi"/>
          <w:sz w:val="28"/>
          <w:lang w:eastAsia="de-DE"/>
        </w:rPr>
        <w:t>g</w:t>
      </w:r>
      <w:r w:rsidRPr="00676F5C">
        <w:rPr>
          <w:rFonts w:asciiTheme="majorHAnsi" w:hAnsiTheme="majorHAnsi"/>
          <w:sz w:val="28"/>
          <w:lang w:eastAsia="de-DE"/>
        </w:rPr>
        <w:t xml:space="preserve">rowth </w:t>
      </w:r>
      <w:r w:rsidR="006018AB">
        <w:rPr>
          <w:rFonts w:asciiTheme="majorHAnsi" w:hAnsiTheme="majorHAnsi"/>
          <w:sz w:val="28"/>
          <w:lang w:eastAsia="de-DE"/>
        </w:rPr>
        <w:t>t</w:t>
      </w:r>
      <w:r w:rsidRPr="00676F5C">
        <w:rPr>
          <w:rFonts w:asciiTheme="majorHAnsi" w:hAnsiTheme="majorHAnsi"/>
          <w:sz w:val="28"/>
          <w:lang w:eastAsia="de-DE"/>
        </w:rPr>
        <w:t xml:space="preserve">rajectory and </w:t>
      </w:r>
      <w:r w:rsidR="0095116F">
        <w:rPr>
          <w:rFonts w:asciiTheme="majorHAnsi" w:hAnsiTheme="majorHAnsi"/>
          <w:sz w:val="28"/>
          <w:lang w:eastAsia="de-DE"/>
        </w:rPr>
        <w:t>increases r</w:t>
      </w:r>
      <w:r w:rsidR="0095116F" w:rsidRPr="0095116F">
        <w:rPr>
          <w:rFonts w:asciiTheme="majorHAnsi" w:hAnsiTheme="majorHAnsi"/>
          <w:sz w:val="28"/>
          <w:lang w:eastAsia="de-DE"/>
        </w:rPr>
        <w:t>evenue forecast for 2026</w:t>
      </w:r>
    </w:p>
    <w:p w14:paraId="09CD3AC6" w14:textId="77777777" w:rsidR="00676F5C" w:rsidRDefault="00676F5C" w:rsidP="005B1B49">
      <w:pPr>
        <w:rPr>
          <w:lang w:eastAsia="de-DE"/>
        </w:rPr>
      </w:pPr>
    </w:p>
    <w:p w14:paraId="1DADFA19" w14:textId="5146047D" w:rsidR="00637320" w:rsidRDefault="00637320" w:rsidP="00E82A40">
      <w:pPr>
        <w:pStyle w:val="SensirionSubtitle"/>
      </w:pPr>
      <w:r w:rsidRPr="00637320">
        <w:t xml:space="preserve">Sensirion closed the first half of 2026 with revenue of CHF 179.0 million (+6.9% in local currencies </w:t>
      </w:r>
      <w:r w:rsidR="001C4975">
        <w:t xml:space="preserve">and -3.0% in Swiss francs </w:t>
      </w:r>
      <w:r w:rsidRPr="00637320">
        <w:t xml:space="preserve">compared with the same period last year). All four end markets contributed to this positive </w:t>
      </w:r>
      <w:r>
        <w:t>development</w:t>
      </w:r>
      <w:r w:rsidRPr="00637320">
        <w:t>. Profitability remained stable during the reporting period, in line with expectations: the gross margin stood at 52.6% and the EBITDA margin at 19.5%. Net income rose particularly strongly to CHF 18.9 million (+82%).</w:t>
      </w:r>
    </w:p>
    <w:p w14:paraId="4BA451D9" w14:textId="1AA1FC41" w:rsidR="002B2C61" w:rsidRDefault="002B2C61" w:rsidP="00E82A40">
      <w:pPr>
        <w:pStyle w:val="SensirionSubtitle"/>
      </w:pPr>
    </w:p>
    <w:p w14:paraId="2A533787" w14:textId="5CA2A218" w:rsidR="002B2C61" w:rsidRPr="002B2C61" w:rsidRDefault="002B2C61" w:rsidP="002B2C61">
      <w:pPr>
        <w:rPr>
          <w:rFonts w:asciiTheme="majorHAnsi" w:hAnsiTheme="majorHAnsi"/>
          <w:lang w:eastAsia="de-DE"/>
        </w:rPr>
      </w:pPr>
      <w:r w:rsidRPr="002B2C61">
        <w:rPr>
          <w:rFonts w:asciiTheme="majorHAnsi" w:hAnsiTheme="majorHAnsi"/>
          <w:lang w:eastAsia="de-DE"/>
        </w:rPr>
        <w:t xml:space="preserve">The performance in the first half of the year underscores the strength of </w:t>
      </w:r>
      <w:proofErr w:type="spellStart"/>
      <w:r w:rsidRPr="002B2C61">
        <w:rPr>
          <w:rFonts w:asciiTheme="majorHAnsi" w:hAnsiTheme="majorHAnsi"/>
          <w:lang w:eastAsia="de-DE"/>
        </w:rPr>
        <w:t>Sensirion’s</w:t>
      </w:r>
      <w:proofErr w:type="spellEnd"/>
      <w:r w:rsidRPr="002B2C61">
        <w:rPr>
          <w:rFonts w:asciiTheme="majorHAnsi" w:hAnsiTheme="majorHAnsi"/>
          <w:lang w:eastAsia="de-DE"/>
        </w:rPr>
        <w:t xml:space="preserve"> business model: </w:t>
      </w:r>
      <w:r w:rsidR="005B333B">
        <w:rPr>
          <w:rFonts w:asciiTheme="majorHAnsi" w:hAnsiTheme="majorHAnsi"/>
          <w:lang w:eastAsia="de-DE"/>
        </w:rPr>
        <w:t>b</w:t>
      </w:r>
      <w:r w:rsidRPr="002B2C61">
        <w:rPr>
          <w:rFonts w:asciiTheme="majorHAnsi" w:hAnsiTheme="majorHAnsi"/>
          <w:lang w:eastAsia="de-DE"/>
        </w:rPr>
        <w:t>uilding on its leading market position</w:t>
      </w:r>
      <w:r w:rsidR="005B333B">
        <w:rPr>
          <w:rFonts w:asciiTheme="majorHAnsi" w:hAnsiTheme="majorHAnsi"/>
          <w:lang w:eastAsia="de-DE"/>
        </w:rPr>
        <w:t>s</w:t>
      </w:r>
      <w:r w:rsidRPr="002B2C61">
        <w:rPr>
          <w:rFonts w:asciiTheme="majorHAnsi" w:hAnsiTheme="majorHAnsi"/>
          <w:lang w:eastAsia="de-DE"/>
        </w:rPr>
        <w:t xml:space="preserve">, </w:t>
      </w:r>
      <w:r w:rsidR="005B333B">
        <w:rPr>
          <w:rFonts w:asciiTheme="majorHAnsi" w:hAnsiTheme="majorHAnsi"/>
          <w:lang w:eastAsia="de-DE"/>
        </w:rPr>
        <w:t xml:space="preserve">the broad </w:t>
      </w:r>
      <w:r w:rsidRPr="002B2C61">
        <w:rPr>
          <w:rFonts w:asciiTheme="majorHAnsi" w:hAnsiTheme="majorHAnsi"/>
          <w:lang w:eastAsia="de-DE"/>
        </w:rPr>
        <w:t>technology platform, and in-depth application expertise, Sensirion is systematically targeting new markets in the field of smart gas sensing, thereby laying the foundation for the next phase of growth. To consistently implement this ambitious growth strategy, Sensirion is also further developing its management structure and will align responsibilities even more closely with the requirements of the business going forward.</w:t>
      </w:r>
    </w:p>
    <w:p w14:paraId="029EB649" w14:textId="77777777" w:rsidR="002B2C61" w:rsidRDefault="002B2C61" w:rsidP="00E82A40">
      <w:pPr>
        <w:pStyle w:val="SensirionSubtitle"/>
      </w:pPr>
    </w:p>
    <w:p w14:paraId="7B51A017" w14:textId="63D12763" w:rsidR="00C731BF" w:rsidRDefault="003541D0" w:rsidP="00001072">
      <w:pPr>
        <w:pStyle w:val="SensirionSubtitle"/>
      </w:pPr>
      <w:r w:rsidRPr="003532A3">
        <w:t>Based on the solid first-half results and the continued positive trend, Sensirion is raising its revenue forecast for 2026 from the previous range of CHF 335–360 million to CHF 345–365 million. Adjusted for currency effects, this corresponds to revenue growth of 8</w:t>
      </w:r>
      <w:r>
        <w:t>%</w:t>
      </w:r>
      <w:r w:rsidRPr="003532A3">
        <w:t xml:space="preserve"> to 14</w:t>
      </w:r>
      <w:r>
        <w:t>%</w:t>
      </w:r>
      <w:r w:rsidRPr="003532A3">
        <w:t xml:space="preserve"> compared with the previous year. The EBITDA margin is now expected to be in the upper half of the projected range. This underscores the resilience of the business as well as confidence in its continued growth in a market environment that remains challenging.</w:t>
      </w:r>
    </w:p>
    <w:p w14:paraId="1F9CA961" w14:textId="77777777" w:rsidR="00527421" w:rsidRDefault="00527421" w:rsidP="00001072">
      <w:pPr>
        <w:pStyle w:val="SensirionSubtitle"/>
      </w:pPr>
    </w:p>
    <w:p w14:paraId="77661C31" w14:textId="77777777" w:rsidR="006900BF" w:rsidRPr="00E82A40" w:rsidRDefault="006900BF" w:rsidP="006900BF">
      <w:pPr>
        <w:rPr>
          <w:lang w:eastAsia="de-DE"/>
        </w:rPr>
      </w:pPr>
    </w:p>
    <w:tbl>
      <w:tblPr>
        <w:tblStyle w:val="TableGrid"/>
        <w:tblW w:w="0" w:type="auto"/>
        <w:tblLook w:val="04A0" w:firstRow="1" w:lastRow="0" w:firstColumn="1" w:lastColumn="0" w:noHBand="0" w:noVBand="1"/>
      </w:tblPr>
      <w:tblGrid>
        <w:gridCol w:w="3020"/>
        <w:gridCol w:w="3020"/>
        <w:gridCol w:w="3020"/>
      </w:tblGrid>
      <w:tr w:rsidR="001A414F" w14:paraId="0C522E4C" w14:textId="77777777" w:rsidTr="00AF714E">
        <w:tc>
          <w:tcPr>
            <w:tcW w:w="3020" w:type="dxa"/>
          </w:tcPr>
          <w:p w14:paraId="235479E1" w14:textId="06F9FDB8" w:rsidR="001A414F" w:rsidRPr="006900BF" w:rsidRDefault="001A414F" w:rsidP="001A414F">
            <w:pPr>
              <w:rPr>
                <w:rFonts w:asciiTheme="majorHAnsi" w:hAnsiTheme="majorHAnsi" w:cstheme="majorHAnsi"/>
                <w:lang w:eastAsia="de-DE"/>
              </w:rPr>
            </w:pPr>
            <w:r w:rsidRPr="003532A3">
              <w:rPr>
                <w:rFonts w:asciiTheme="majorHAnsi" w:hAnsiTheme="majorHAnsi" w:cstheme="majorHAnsi"/>
                <w:lang w:eastAsia="de-DE"/>
              </w:rPr>
              <w:t xml:space="preserve">Consolidated, in </w:t>
            </w:r>
            <w:r>
              <w:rPr>
                <w:rFonts w:asciiTheme="majorHAnsi" w:hAnsiTheme="majorHAnsi" w:cstheme="majorHAnsi"/>
                <w:lang w:eastAsia="de-DE"/>
              </w:rPr>
              <w:t xml:space="preserve">Mio. </w:t>
            </w:r>
            <w:r w:rsidRPr="003532A3">
              <w:rPr>
                <w:rFonts w:asciiTheme="majorHAnsi" w:hAnsiTheme="majorHAnsi" w:cstheme="majorHAnsi"/>
                <w:lang w:eastAsia="de-DE"/>
              </w:rPr>
              <w:t>CHF</w:t>
            </w:r>
          </w:p>
        </w:tc>
        <w:tc>
          <w:tcPr>
            <w:tcW w:w="3020" w:type="dxa"/>
          </w:tcPr>
          <w:p w14:paraId="7AD481A1" w14:textId="5976ED7F" w:rsidR="001A414F" w:rsidRPr="006900BF" w:rsidRDefault="001A414F" w:rsidP="001A414F">
            <w:pPr>
              <w:jc w:val="right"/>
              <w:rPr>
                <w:rFonts w:asciiTheme="majorHAnsi" w:hAnsiTheme="majorHAnsi" w:cstheme="majorHAnsi"/>
                <w:lang w:eastAsia="de-DE"/>
              </w:rPr>
            </w:pPr>
            <w:r w:rsidRPr="003532A3">
              <w:rPr>
                <w:rFonts w:asciiTheme="majorHAnsi" w:hAnsiTheme="majorHAnsi" w:cstheme="majorHAnsi"/>
                <w:lang w:eastAsia="de-DE"/>
              </w:rPr>
              <w:t xml:space="preserve">January </w:t>
            </w:r>
            <w:r>
              <w:rPr>
                <w:rFonts w:asciiTheme="majorHAnsi" w:hAnsiTheme="majorHAnsi" w:cstheme="majorHAnsi"/>
                <w:lang w:eastAsia="de-DE"/>
              </w:rPr>
              <w:t xml:space="preserve">1 to </w:t>
            </w:r>
            <w:r w:rsidRPr="003532A3">
              <w:rPr>
                <w:rFonts w:asciiTheme="majorHAnsi" w:hAnsiTheme="majorHAnsi" w:cstheme="majorHAnsi"/>
                <w:lang w:eastAsia="de-DE"/>
              </w:rPr>
              <w:t xml:space="preserve">June </w:t>
            </w:r>
            <w:r>
              <w:rPr>
                <w:rFonts w:asciiTheme="majorHAnsi" w:hAnsiTheme="majorHAnsi" w:cstheme="majorHAnsi"/>
                <w:lang w:eastAsia="de-DE"/>
              </w:rPr>
              <w:t xml:space="preserve">30, </w:t>
            </w:r>
            <w:r w:rsidRPr="003532A3">
              <w:rPr>
                <w:rFonts w:asciiTheme="majorHAnsi" w:hAnsiTheme="majorHAnsi" w:cstheme="majorHAnsi"/>
                <w:lang w:eastAsia="de-DE"/>
              </w:rPr>
              <w:t>2026</w:t>
            </w:r>
          </w:p>
        </w:tc>
        <w:tc>
          <w:tcPr>
            <w:tcW w:w="3020" w:type="dxa"/>
          </w:tcPr>
          <w:p w14:paraId="457DF5F9" w14:textId="115AA56A" w:rsidR="001A414F" w:rsidRPr="006F3A90" w:rsidRDefault="001A414F" w:rsidP="001A414F">
            <w:pPr>
              <w:jc w:val="right"/>
              <w:rPr>
                <w:rFonts w:asciiTheme="majorHAnsi" w:hAnsiTheme="majorHAnsi" w:cstheme="majorHAnsi"/>
                <w:lang w:val="de-CH" w:eastAsia="de-DE"/>
              </w:rPr>
            </w:pPr>
            <w:r w:rsidRPr="003532A3">
              <w:rPr>
                <w:rFonts w:asciiTheme="majorHAnsi" w:hAnsiTheme="majorHAnsi" w:cstheme="majorHAnsi"/>
                <w:lang w:eastAsia="de-DE"/>
              </w:rPr>
              <w:t xml:space="preserve">January </w:t>
            </w:r>
            <w:r>
              <w:rPr>
                <w:rFonts w:asciiTheme="majorHAnsi" w:hAnsiTheme="majorHAnsi" w:cstheme="majorHAnsi"/>
                <w:lang w:eastAsia="de-DE"/>
              </w:rPr>
              <w:t>1 to</w:t>
            </w:r>
            <w:r w:rsidRPr="003532A3">
              <w:rPr>
                <w:rFonts w:asciiTheme="majorHAnsi" w:hAnsiTheme="majorHAnsi" w:cstheme="majorHAnsi"/>
                <w:lang w:eastAsia="de-DE"/>
              </w:rPr>
              <w:t xml:space="preserve"> June </w:t>
            </w:r>
            <w:r>
              <w:rPr>
                <w:rFonts w:asciiTheme="majorHAnsi" w:hAnsiTheme="majorHAnsi" w:cstheme="majorHAnsi"/>
                <w:lang w:eastAsia="de-DE"/>
              </w:rPr>
              <w:t xml:space="preserve">30, </w:t>
            </w:r>
            <w:r w:rsidRPr="003532A3">
              <w:rPr>
                <w:rFonts w:asciiTheme="majorHAnsi" w:hAnsiTheme="majorHAnsi" w:cstheme="majorHAnsi"/>
                <w:lang w:eastAsia="de-DE"/>
              </w:rPr>
              <w:t>2025</w:t>
            </w:r>
          </w:p>
        </w:tc>
      </w:tr>
      <w:tr w:rsidR="001A414F" w14:paraId="7776E280" w14:textId="77777777" w:rsidTr="00AF714E">
        <w:tc>
          <w:tcPr>
            <w:tcW w:w="3020" w:type="dxa"/>
          </w:tcPr>
          <w:p w14:paraId="47C6CF1C" w14:textId="5C6F8388" w:rsidR="001A414F" w:rsidRDefault="001A414F" w:rsidP="001A414F">
            <w:pPr>
              <w:rPr>
                <w:lang w:val="de-CH" w:eastAsia="de-DE"/>
              </w:rPr>
            </w:pPr>
            <w:r w:rsidRPr="003532A3">
              <w:t>Revenue</w:t>
            </w:r>
          </w:p>
        </w:tc>
        <w:tc>
          <w:tcPr>
            <w:tcW w:w="3020" w:type="dxa"/>
          </w:tcPr>
          <w:p w14:paraId="3104332C" w14:textId="0D098034" w:rsidR="001A414F" w:rsidRDefault="001A414F" w:rsidP="001A414F">
            <w:pPr>
              <w:jc w:val="right"/>
              <w:rPr>
                <w:lang w:val="de-CH" w:eastAsia="de-DE"/>
              </w:rPr>
            </w:pPr>
            <w:r w:rsidRPr="003532A3">
              <w:rPr>
                <w:lang w:eastAsia="de-DE"/>
              </w:rPr>
              <w:t>179.0</w:t>
            </w:r>
          </w:p>
        </w:tc>
        <w:tc>
          <w:tcPr>
            <w:tcW w:w="3020" w:type="dxa"/>
          </w:tcPr>
          <w:p w14:paraId="092BFC33" w14:textId="3D080461" w:rsidR="001A414F" w:rsidRDefault="001A414F" w:rsidP="001A414F">
            <w:pPr>
              <w:jc w:val="right"/>
              <w:rPr>
                <w:lang w:val="de-CH" w:eastAsia="de-DE"/>
              </w:rPr>
            </w:pPr>
            <w:r w:rsidRPr="003532A3">
              <w:rPr>
                <w:lang w:eastAsia="de-DE"/>
              </w:rPr>
              <w:t>184.5</w:t>
            </w:r>
          </w:p>
        </w:tc>
      </w:tr>
      <w:tr w:rsidR="001A414F" w14:paraId="6EBCDB10" w14:textId="77777777" w:rsidTr="00AF714E">
        <w:tc>
          <w:tcPr>
            <w:tcW w:w="3020" w:type="dxa"/>
          </w:tcPr>
          <w:p w14:paraId="26DC4EA0" w14:textId="57CB823D" w:rsidR="001A414F" w:rsidRDefault="001A414F" w:rsidP="001A414F">
            <w:pPr>
              <w:rPr>
                <w:lang w:val="de-CH" w:eastAsia="de-DE"/>
              </w:rPr>
            </w:pPr>
            <w:r w:rsidRPr="003532A3">
              <w:t>Gross profit</w:t>
            </w:r>
          </w:p>
        </w:tc>
        <w:tc>
          <w:tcPr>
            <w:tcW w:w="3020" w:type="dxa"/>
          </w:tcPr>
          <w:p w14:paraId="6CC108FE" w14:textId="611F6E11" w:rsidR="001A414F" w:rsidRDefault="001A414F" w:rsidP="001A414F">
            <w:pPr>
              <w:jc w:val="right"/>
              <w:rPr>
                <w:lang w:val="de-CH" w:eastAsia="de-DE"/>
              </w:rPr>
            </w:pPr>
            <w:r w:rsidRPr="003532A3">
              <w:rPr>
                <w:lang w:eastAsia="de-DE"/>
              </w:rPr>
              <w:t>94.1</w:t>
            </w:r>
          </w:p>
        </w:tc>
        <w:tc>
          <w:tcPr>
            <w:tcW w:w="3020" w:type="dxa"/>
          </w:tcPr>
          <w:p w14:paraId="4482F34E" w14:textId="445BACB5" w:rsidR="001A414F" w:rsidRDefault="001A414F" w:rsidP="001A414F">
            <w:pPr>
              <w:jc w:val="right"/>
              <w:rPr>
                <w:lang w:val="de-CH" w:eastAsia="de-DE"/>
              </w:rPr>
            </w:pPr>
            <w:r w:rsidRPr="003532A3">
              <w:rPr>
                <w:lang w:eastAsia="de-DE"/>
              </w:rPr>
              <w:t>95.0</w:t>
            </w:r>
          </w:p>
        </w:tc>
      </w:tr>
      <w:tr w:rsidR="001A414F" w14:paraId="3C401013" w14:textId="77777777" w:rsidTr="00AF714E">
        <w:tc>
          <w:tcPr>
            <w:tcW w:w="3020" w:type="dxa"/>
          </w:tcPr>
          <w:p w14:paraId="5E2CEBF2" w14:textId="142AEA30" w:rsidR="001A414F" w:rsidRDefault="001A414F" w:rsidP="001A414F">
            <w:pPr>
              <w:rPr>
                <w:lang w:val="de-CH" w:eastAsia="de-DE"/>
              </w:rPr>
            </w:pPr>
            <w:r w:rsidRPr="003532A3">
              <w:t xml:space="preserve">- as </w:t>
            </w:r>
            <w:r>
              <w:t xml:space="preserve">a </w:t>
            </w:r>
            <w:r w:rsidRPr="003532A3">
              <w:t>% of revenue</w:t>
            </w:r>
          </w:p>
        </w:tc>
        <w:tc>
          <w:tcPr>
            <w:tcW w:w="3020" w:type="dxa"/>
          </w:tcPr>
          <w:p w14:paraId="7C649BEB" w14:textId="02B7CE06" w:rsidR="001A414F" w:rsidRDefault="001A414F" w:rsidP="001A414F">
            <w:pPr>
              <w:jc w:val="right"/>
              <w:rPr>
                <w:lang w:val="de-CH" w:eastAsia="de-DE"/>
              </w:rPr>
            </w:pPr>
            <w:r w:rsidRPr="003532A3">
              <w:rPr>
                <w:lang w:eastAsia="de-DE"/>
              </w:rPr>
              <w:t>52.6%</w:t>
            </w:r>
          </w:p>
        </w:tc>
        <w:tc>
          <w:tcPr>
            <w:tcW w:w="3020" w:type="dxa"/>
          </w:tcPr>
          <w:p w14:paraId="3ABE93FC" w14:textId="7C588483" w:rsidR="001A414F" w:rsidRDefault="001A414F" w:rsidP="001A414F">
            <w:pPr>
              <w:jc w:val="right"/>
              <w:rPr>
                <w:lang w:val="de-CH" w:eastAsia="de-DE"/>
              </w:rPr>
            </w:pPr>
            <w:r w:rsidRPr="003532A3">
              <w:rPr>
                <w:lang w:eastAsia="de-DE"/>
              </w:rPr>
              <w:t>51.5%</w:t>
            </w:r>
          </w:p>
        </w:tc>
      </w:tr>
      <w:tr w:rsidR="001A414F" w14:paraId="223F018D" w14:textId="77777777" w:rsidTr="00AF714E">
        <w:tc>
          <w:tcPr>
            <w:tcW w:w="3020" w:type="dxa"/>
          </w:tcPr>
          <w:p w14:paraId="00B58777" w14:textId="42C01703" w:rsidR="001A414F" w:rsidRDefault="001A414F" w:rsidP="001A414F">
            <w:pPr>
              <w:rPr>
                <w:lang w:val="de-CH" w:eastAsia="de-DE"/>
              </w:rPr>
            </w:pPr>
            <w:r w:rsidRPr="003532A3">
              <w:t>Operating profit (loss)</w:t>
            </w:r>
          </w:p>
        </w:tc>
        <w:tc>
          <w:tcPr>
            <w:tcW w:w="3020" w:type="dxa"/>
          </w:tcPr>
          <w:p w14:paraId="4F1A9C8C" w14:textId="49203DE5" w:rsidR="001A414F" w:rsidRDefault="001A414F" w:rsidP="001A414F">
            <w:pPr>
              <w:jc w:val="right"/>
              <w:rPr>
                <w:lang w:val="de-CH" w:eastAsia="de-DE"/>
              </w:rPr>
            </w:pPr>
            <w:r w:rsidRPr="003532A3">
              <w:rPr>
                <w:lang w:eastAsia="de-DE"/>
              </w:rPr>
              <w:t>23.9</w:t>
            </w:r>
          </w:p>
        </w:tc>
        <w:tc>
          <w:tcPr>
            <w:tcW w:w="3020" w:type="dxa"/>
          </w:tcPr>
          <w:p w14:paraId="4AF4892B" w14:textId="35504F90" w:rsidR="001A414F" w:rsidRDefault="001A414F" w:rsidP="001A414F">
            <w:pPr>
              <w:jc w:val="right"/>
              <w:rPr>
                <w:lang w:val="de-CH" w:eastAsia="de-DE"/>
              </w:rPr>
            </w:pPr>
            <w:r w:rsidRPr="003532A3">
              <w:rPr>
                <w:lang w:eastAsia="de-DE"/>
              </w:rPr>
              <w:t>26.3</w:t>
            </w:r>
          </w:p>
        </w:tc>
      </w:tr>
      <w:tr w:rsidR="001A414F" w14:paraId="2828CE9B" w14:textId="77777777" w:rsidTr="00AF714E">
        <w:tc>
          <w:tcPr>
            <w:tcW w:w="3020" w:type="dxa"/>
          </w:tcPr>
          <w:p w14:paraId="662B4A46" w14:textId="291334CF" w:rsidR="001A414F" w:rsidRDefault="001A414F" w:rsidP="001A414F">
            <w:pPr>
              <w:rPr>
                <w:lang w:val="de-CH" w:eastAsia="de-DE"/>
              </w:rPr>
            </w:pPr>
            <w:r w:rsidRPr="003532A3">
              <w:t xml:space="preserve">- as </w:t>
            </w:r>
            <w:r>
              <w:t xml:space="preserve">a </w:t>
            </w:r>
            <w:r w:rsidRPr="003532A3">
              <w:t>% of revenue</w:t>
            </w:r>
          </w:p>
        </w:tc>
        <w:tc>
          <w:tcPr>
            <w:tcW w:w="3020" w:type="dxa"/>
          </w:tcPr>
          <w:p w14:paraId="25CD4748" w14:textId="34348377" w:rsidR="001A414F" w:rsidRDefault="001A414F" w:rsidP="001A414F">
            <w:pPr>
              <w:jc w:val="right"/>
              <w:rPr>
                <w:lang w:val="de-CH" w:eastAsia="de-DE"/>
              </w:rPr>
            </w:pPr>
            <w:r w:rsidRPr="003532A3">
              <w:rPr>
                <w:lang w:eastAsia="de-DE"/>
              </w:rPr>
              <w:t>13.4%</w:t>
            </w:r>
          </w:p>
        </w:tc>
        <w:tc>
          <w:tcPr>
            <w:tcW w:w="3020" w:type="dxa"/>
          </w:tcPr>
          <w:p w14:paraId="4F34658E" w14:textId="7F861036" w:rsidR="001A414F" w:rsidRDefault="001A414F" w:rsidP="001A414F">
            <w:pPr>
              <w:jc w:val="right"/>
              <w:rPr>
                <w:lang w:val="de-CH" w:eastAsia="de-DE"/>
              </w:rPr>
            </w:pPr>
            <w:r w:rsidRPr="003532A3">
              <w:rPr>
                <w:lang w:eastAsia="de-DE"/>
              </w:rPr>
              <w:t>14.2%</w:t>
            </w:r>
          </w:p>
        </w:tc>
      </w:tr>
      <w:tr w:rsidR="001A414F" w14:paraId="40670CDE" w14:textId="77777777" w:rsidTr="00AF714E">
        <w:tc>
          <w:tcPr>
            <w:tcW w:w="3020" w:type="dxa"/>
          </w:tcPr>
          <w:p w14:paraId="408AD7DE" w14:textId="1CCDFAFD" w:rsidR="001A414F" w:rsidRPr="006900BF" w:rsidRDefault="001A414F" w:rsidP="001A414F">
            <w:pPr>
              <w:rPr>
                <w:lang w:eastAsia="de-DE"/>
              </w:rPr>
            </w:pPr>
            <w:r w:rsidRPr="003532A3">
              <w:t>Profit (loss) for the period</w:t>
            </w:r>
          </w:p>
        </w:tc>
        <w:tc>
          <w:tcPr>
            <w:tcW w:w="3020" w:type="dxa"/>
          </w:tcPr>
          <w:p w14:paraId="29882509" w14:textId="35BBD344" w:rsidR="001A414F" w:rsidRDefault="001A414F" w:rsidP="001A414F">
            <w:pPr>
              <w:jc w:val="right"/>
              <w:rPr>
                <w:lang w:val="de-CH" w:eastAsia="de-DE"/>
              </w:rPr>
            </w:pPr>
            <w:r w:rsidRPr="003532A3">
              <w:rPr>
                <w:lang w:eastAsia="de-DE"/>
              </w:rPr>
              <w:t>18.9</w:t>
            </w:r>
          </w:p>
        </w:tc>
        <w:tc>
          <w:tcPr>
            <w:tcW w:w="3020" w:type="dxa"/>
          </w:tcPr>
          <w:p w14:paraId="67018563" w14:textId="25759C18" w:rsidR="001A414F" w:rsidRDefault="001A414F" w:rsidP="001A414F">
            <w:pPr>
              <w:jc w:val="right"/>
              <w:rPr>
                <w:lang w:val="de-CH" w:eastAsia="de-DE"/>
              </w:rPr>
            </w:pPr>
            <w:r w:rsidRPr="003532A3">
              <w:rPr>
                <w:lang w:eastAsia="de-DE"/>
              </w:rPr>
              <w:t>10.4</w:t>
            </w:r>
          </w:p>
        </w:tc>
      </w:tr>
      <w:tr w:rsidR="001A414F" w14:paraId="21A64B5D" w14:textId="77777777" w:rsidTr="00AF714E">
        <w:tc>
          <w:tcPr>
            <w:tcW w:w="3020" w:type="dxa"/>
          </w:tcPr>
          <w:p w14:paraId="4C657BB0" w14:textId="7F18B8D2" w:rsidR="001A414F" w:rsidRDefault="001A414F" w:rsidP="001A414F">
            <w:pPr>
              <w:rPr>
                <w:lang w:val="de-CH" w:eastAsia="de-DE"/>
              </w:rPr>
            </w:pPr>
            <w:r w:rsidRPr="003532A3">
              <w:t xml:space="preserve">- as </w:t>
            </w:r>
            <w:r>
              <w:t xml:space="preserve">a </w:t>
            </w:r>
            <w:r w:rsidRPr="003532A3">
              <w:t>% of revenue</w:t>
            </w:r>
          </w:p>
        </w:tc>
        <w:tc>
          <w:tcPr>
            <w:tcW w:w="3020" w:type="dxa"/>
          </w:tcPr>
          <w:p w14:paraId="6C46DD03" w14:textId="6858DC65" w:rsidR="001A414F" w:rsidRDefault="001A414F" w:rsidP="001A414F">
            <w:pPr>
              <w:jc w:val="right"/>
              <w:rPr>
                <w:lang w:val="de-CH" w:eastAsia="de-DE"/>
              </w:rPr>
            </w:pPr>
            <w:r w:rsidRPr="003532A3">
              <w:rPr>
                <w:lang w:eastAsia="de-DE"/>
              </w:rPr>
              <w:t>10.5%</w:t>
            </w:r>
          </w:p>
        </w:tc>
        <w:tc>
          <w:tcPr>
            <w:tcW w:w="3020" w:type="dxa"/>
          </w:tcPr>
          <w:p w14:paraId="7599A044" w14:textId="4D1A3F12" w:rsidR="001A414F" w:rsidRDefault="001A414F" w:rsidP="001A414F">
            <w:pPr>
              <w:jc w:val="right"/>
              <w:rPr>
                <w:lang w:val="de-CH" w:eastAsia="de-DE"/>
              </w:rPr>
            </w:pPr>
            <w:r w:rsidRPr="003532A3">
              <w:rPr>
                <w:lang w:eastAsia="de-DE"/>
              </w:rPr>
              <w:t>5.7%</w:t>
            </w:r>
          </w:p>
        </w:tc>
      </w:tr>
      <w:tr w:rsidR="001A414F" w14:paraId="6D77C300" w14:textId="77777777" w:rsidTr="00AF714E">
        <w:tc>
          <w:tcPr>
            <w:tcW w:w="3020" w:type="dxa"/>
          </w:tcPr>
          <w:p w14:paraId="03A5EF9A" w14:textId="2A7C6457" w:rsidR="001A414F" w:rsidRPr="006900BF" w:rsidRDefault="001A414F" w:rsidP="001A414F">
            <w:pPr>
              <w:rPr>
                <w:lang w:eastAsia="de-DE"/>
              </w:rPr>
            </w:pPr>
            <w:r w:rsidRPr="003532A3">
              <w:t>Earnings per share (in CHF)</w:t>
            </w:r>
          </w:p>
        </w:tc>
        <w:tc>
          <w:tcPr>
            <w:tcW w:w="3020" w:type="dxa"/>
          </w:tcPr>
          <w:p w14:paraId="0FE59EFF" w14:textId="18EF7681" w:rsidR="001A414F" w:rsidRDefault="001A414F" w:rsidP="001A414F">
            <w:pPr>
              <w:jc w:val="right"/>
              <w:rPr>
                <w:lang w:val="de-CH" w:eastAsia="de-DE"/>
              </w:rPr>
            </w:pPr>
            <w:r w:rsidRPr="003532A3">
              <w:rPr>
                <w:lang w:eastAsia="de-DE"/>
              </w:rPr>
              <w:t>1.21</w:t>
            </w:r>
          </w:p>
        </w:tc>
        <w:tc>
          <w:tcPr>
            <w:tcW w:w="3020" w:type="dxa"/>
          </w:tcPr>
          <w:p w14:paraId="77114B04" w14:textId="2286ACD2" w:rsidR="001A414F" w:rsidRDefault="001A414F" w:rsidP="001A414F">
            <w:pPr>
              <w:jc w:val="right"/>
              <w:rPr>
                <w:lang w:val="de-CH" w:eastAsia="de-DE"/>
              </w:rPr>
            </w:pPr>
            <w:r w:rsidRPr="003532A3">
              <w:rPr>
                <w:lang w:eastAsia="de-DE"/>
              </w:rPr>
              <w:t>0.67</w:t>
            </w:r>
          </w:p>
        </w:tc>
      </w:tr>
      <w:tr w:rsidR="001A414F" w14:paraId="59A3B082" w14:textId="77777777" w:rsidTr="00AF714E">
        <w:tc>
          <w:tcPr>
            <w:tcW w:w="3020" w:type="dxa"/>
          </w:tcPr>
          <w:p w14:paraId="2680BC3B" w14:textId="6656701B" w:rsidR="001A414F" w:rsidRDefault="001A414F" w:rsidP="001A414F">
            <w:pPr>
              <w:rPr>
                <w:lang w:val="de-CH" w:eastAsia="de-DE"/>
              </w:rPr>
            </w:pPr>
            <w:r w:rsidRPr="003532A3">
              <w:t>EBITDA</w:t>
            </w:r>
          </w:p>
        </w:tc>
        <w:tc>
          <w:tcPr>
            <w:tcW w:w="3020" w:type="dxa"/>
          </w:tcPr>
          <w:p w14:paraId="33C1E632" w14:textId="2E0E24E2" w:rsidR="001A414F" w:rsidRDefault="001A414F" w:rsidP="001A414F">
            <w:pPr>
              <w:jc w:val="right"/>
              <w:rPr>
                <w:lang w:val="de-CH" w:eastAsia="de-DE"/>
              </w:rPr>
            </w:pPr>
            <w:r w:rsidRPr="003532A3">
              <w:rPr>
                <w:lang w:eastAsia="de-DE"/>
              </w:rPr>
              <w:t>34.9</w:t>
            </w:r>
          </w:p>
        </w:tc>
        <w:tc>
          <w:tcPr>
            <w:tcW w:w="3020" w:type="dxa"/>
          </w:tcPr>
          <w:p w14:paraId="30A8DFEF" w14:textId="5BDCFDF1" w:rsidR="001A414F" w:rsidRDefault="001A414F" w:rsidP="001A414F">
            <w:pPr>
              <w:jc w:val="right"/>
              <w:rPr>
                <w:lang w:val="de-CH" w:eastAsia="de-DE"/>
              </w:rPr>
            </w:pPr>
            <w:r w:rsidRPr="003532A3">
              <w:rPr>
                <w:lang w:eastAsia="de-DE"/>
              </w:rPr>
              <w:t>36.5</w:t>
            </w:r>
          </w:p>
        </w:tc>
      </w:tr>
      <w:tr w:rsidR="001A414F" w14:paraId="1FF75462" w14:textId="77777777" w:rsidTr="00AF714E">
        <w:tc>
          <w:tcPr>
            <w:tcW w:w="3020" w:type="dxa"/>
          </w:tcPr>
          <w:p w14:paraId="77B75F83" w14:textId="4E78C45B" w:rsidR="001A414F" w:rsidRPr="008A209D" w:rsidRDefault="001A414F" w:rsidP="001A414F">
            <w:r w:rsidRPr="003532A3">
              <w:t xml:space="preserve">- as </w:t>
            </w:r>
            <w:r>
              <w:t xml:space="preserve">a </w:t>
            </w:r>
            <w:r w:rsidRPr="003532A3">
              <w:t>% of revenue</w:t>
            </w:r>
          </w:p>
        </w:tc>
        <w:tc>
          <w:tcPr>
            <w:tcW w:w="3020" w:type="dxa"/>
          </w:tcPr>
          <w:p w14:paraId="50D82132" w14:textId="66069ED8" w:rsidR="001A414F" w:rsidRDefault="001A414F" w:rsidP="001A414F">
            <w:pPr>
              <w:jc w:val="right"/>
              <w:rPr>
                <w:lang w:val="de-CH" w:eastAsia="de-DE"/>
              </w:rPr>
            </w:pPr>
            <w:r w:rsidRPr="003532A3">
              <w:rPr>
                <w:lang w:eastAsia="de-DE"/>
              </w:rPr>
              <w:t>19.5%</w:t>
            </w:r>
          </w:p>
        </w:tc>
        <w:tc>
          <w:tcPr>
            <w:tcW w:w="3020" w:type="dxa"/>
          </w:tcPr>
          <w:p w14:paraId="0E7E57B4" w14:textId="111B4976" w:rsidR="001A414F" w:rsidRDefault="001A414F" w:rsidP="001A414F">
            <w:pPr>
              <w:jc w:val="right"/>
              <w:rPr>
                <w:lang w:val="de-CH" w:eastAsia="de-DE"/>
              </w:rPr>
            </w:pPr>
            <w:r w:rsidRPr="003532A3">
              <w:rPr>
                <w:lang w:eastAsia="de-DE"/>
              </w:rPr>
              <w:t>19.8%</w:t>
            </w:r>
          </w:p>
        </w:tc>
      </w:tr>
      <w:tr w:rsidR="001A414F" w14:paraId="44CCCB90" w14:textId="77777777" w:rsidTr="00AF714E">
        <w:tc>
          <w:tcPr>
            <w:tcW w:w="3020" w:type="dxa"/>
          </w:tcPr>
          <w:p w14:paraId="6E6CEBB8" w14:textId="0176F2DA" w:rsidR="001A414F" w:rsidRPr="00BC18FB" w:rsidRDefault="001A414F" w:rsidP="001A414F">
            <w:r w:rsidRPr="003532A3">
              <w:t>Cash flow from operating activities</w:t>
            </w:r>
          </w:p>
        </w:tc>
        <w:tc>
          <w:tcPr>
            <w:tcW w:w="3020" w:type="dxa"/>
          </w:tcPr>
          <w:p w14:paraId="639BF3EB" w14:textId="3C787696" w:rsidR="001A414F" w:rsidRDefault="001A414F" w:rsidP="001A414F">
            <w:pPr>
              <w:jc w:val="right"/>
              <w:rPr>
                <w:lang w:val="de-CH" w:eastAsia="de-DE"/>
              </w:rPr>
            </w:pPr>
            <w:r w:rsidRPr="003532A3">
              <w:rPr>
                <w:lang w:eastAsia="de-DE"/>
              </w:rPr>
              <w:t>34.0</w:t>
            </w:r>
          </w:p>
        </w:tc>
        <w:tc>
          <w:tcPr>
            <w:tcW w:w="3020" w:type="dxa"/>
          </w:tcPr>
          <w:p w14:paraId="70E964CC" w14:textId="2B0B022E" w:rsidR="001A414F" w:rsidRDefault="001A414F" w:rsidP="001A414F">
            <w:pPr>
              <w:jc w:val="right"/>
              <w:rPr>
                <w:lang w:val="de-CH" w:eastAsia="de-DE"/>
              </w:rPr>
            </w:pPr>
            <w:r w:rsidRPr="003532A3">
              <w:rPr>
                <w:lang w:eastAsia="de-DE"/>
              </w:rPr>
              <w:t>28.4</w:t>
            </w:r>
          </w:p>
        </w:tc>
      </w:tr>
      <w:tr w:rsidR="001A414F" w14:paraId="76988F6C" w14:textId="77777777" w:rsidTr="00AF714E">
        <w:tc>
          <w:tcPr>
            <w:tcW w:w="3020" w:type="dxa"/>
          </w:tcPr>
          <w:p w14:paraId="7FAA2B0D" w14:textId="4636B236" w:rsidR="001A414F" w:rsidRPr="00401FDB" w:rsidRDefault="001A414F" w:rsidP="001A414F">
            <w:r w:rsidRPr="003532A3">
              <w:t>Capital expenditures</w:t>
            </w:r>
          </w:p>
        </w:tc>
        <w:tc>
          <w:tcPr>
            <w:tcW w:w="3020" w:type="dxa"/>
          </w:tcPr>
          <w:p w14:paraId="3E428676" w14:textId="5BD080B6" w:rsidR="001A414F" w:rsidRDefault="001A414F" w:rsidP="001A414F">
            <w:pPr>
              <w:jc w:val="right"/>
              <w:rPr>
                <w:lang w:val="de-CH" w:eastAsia="de-DE"/>
              </w:rPr>
            </w:pPr>
            <w:r w:rsidRPr="003532A3">
              <w:rPr>
                <w:lang w:eastAsia="de-DE"/>
              </w:rPr>
              <w:t>(23.4)</w:t>
            </w:r>
          </w:p>
        </w:tc>
        <w:tc>
          <w:tcPr>
            <w:tcW w:w="3020" w:type="dxa"/>
          </w:tcPr>
          <w:p w14:paraId="192D36B5" w14:textId="75ACA7FB" w:rsidR="001A414F" w:rsidRDefault="001A414F" w:rsidP="001A414F">
            <w:pPr>
              <w:jc w:val="right"/>
              <w:rPr>
                <w:lang w:val="de-CH" w:eastAsia="de-DE"/>
              </w:rPr>
            </w:pPr>
            <w:r w:rsidRPr="003532A3">
              <w:rPr>
                <w:lang w:eastAsia="de-DE"/>
              </w:rPr>
              <w:t>(12.8)</w:t>
            </w:r>
          </w:p>
        </w:tc>
      </w:tr>
      <w:tr w:rsidR="001A414F" w14:paraId="72B0F075" w14:textId="77777777" w:rsidTr="00AF714E">
        <w:tc>
          <w:tcPr>
            <w:tcW w:w="3020" w:type="dxa"/>
          </w:tcPr>
          <w:p w14:paraId="55C321FC" w14:textId="70DB3B6C" w:rsidR="001A414F" w:rsidRPr="000A6BEE" w:rsidRDefault="001A414F" w:rsidP="001A414F">
            <w:r w:rsidRPr="003532A3">
              <w:t>Free cash flow</w:t>
            </w:r>
          </w:p>
        </w:tc>
        <w:tc>
          <w:tcPr>
            <w:tcW w:w="3020" w:type="dxa"/>
          </w:tcPr>
          <w:p w14:paraId="39FBB536" w14:textId="426562D6" w:rsidR="001A414F" w:rsidRDefault="001A414F" w:rsidP="001A414F">
            <w:pPr>
              <w:jc w:val="right"/>
              <w:rPr>
                <w:lang w:val="de-CH" w:eastAsia="de-DE"/>
              </w:rPr>
            </w:pPr>
            <w:r w:rsidRPr="003532A3">
              <w:rPr>
                <w:lang w:eastAsia="de-DE"/>
              </w:rPr>
              <w:t>10.6</w:t>
            </w:r>
          </w:p>
        </w:tc>
        <w:tc>
          <w:tcPr>
            <w:tcW w:w="3020" w:type="dxa"/>
          </w:tcPr>
          <w:p w14:paraId="0863AB57" w14:textId="3CD1E7BE" w:rsidR="001A414F" w:rsidRDefault="001A414F" w:rsidP="001A414F">
            <w:pPr>
              <w:jc w:val="right"/>
              <w:rPr>
                <w:lang w:val="de-CH" w:eastAsia="de-DE"/>
              </w:rPr>
            </w:pPr>
            <w:r w:rsidRPr="003532A3">
              <w:rPr>
                <w:lang w:eastAsia="de-DE"/>
              </w:rPr>
              <w:t>15.6</w:t>
            </w:r>
          </w:p>
        </w:tc>
      </w:tr>
      <w:tr w:rsidR="001A414F" w14:paraId="57D616FD" w14:textId="77777777" w:rsidTr="00AF714E">
        <w:tc>
          <w:tcPr>
            <w:tcW w:w="3020" w:type="dxa"/>
          </w:tcPr>
          <w:p w14:paraId="0905C021" w14:textId="77777777" w:rsidR="001A414F" w:rsidRPr="007C28D5" w:rsidRDefault="001A414F" w:rsidP="001A414F"/>
        </w:tc>
        <w:tc>
          <w:tcPr>
            <w:tcW w:w="3020" w:type="dxa"/>
          </w:tcPr>
          <w:p w14:paraId="3CA85CC6" w14:textId="2D0F34F3" w:rsidR="001A414F" w:rsidRPr="006F3A90" w:rsidRDefault="001A414F" w:rsidP="001A414F">
            <w:pPr>
              <w:jc w:val="right"/>
              <w:rPr>
                <w:rFonts w:asciiTheme="majorHAnsi" w:hAnsiTheme="majorHAnsi" w:cstheme="majorHAnsi"/>
                <w:lang w:val="de-CH" w:eastAsia="de-DE"/>
              </w:rPr>
            </w:pPr>
            <w:r w:rsidRPr="003532A3">
              <w:rPr>
                <w:rFonts w:asciiTheme="majorHAnsi" w:hAnsiTheme="majorHAnsi" w:cstheme="majorHAnsi"/>
                <w:lang w:eastAsia="de-DE"/>
              </w:rPr>
              <w:t xml:space="preserve">As of June </w:t>
            </w:r>
            <w:r>
              <w:rPr>
                <w:rFonts w:asciiTheme="majorHAnsi" w:hAnsiTheme="majorHAnsi" w:cstheme="majorHAnsi"/>
                <w:lang w:eastAsia="de-DE"/>
              </w:rPr>
              <w:t xml:space="preserve">30, </w:t>
            </w:r>
            <w:r w:rsidRPr="003532A3">
              <w:rPr>
                <w:rFonts w:asciiTheme="majorHAnsi" w:hAnsiTheme="majorHAnsi" w:cstheme="majorHAnsi"/>
                <w:lang w:eastAsia="de-DE"/>
              </w:rPr>
              <w:t>2026</w:t>
            </w:r>
          </w:p>
        </w:tc>
        <w:tc>
          <w:tcPr>
            <w:tcW w:w="3020" w:type="dxa"/>
          </w:tcPr>
          <w:p w14:paraId="21FBE6E8" w14:textId="306BCF34" w:rsidR="001A414F" w:rsidRPr="006F3A90" w:rsidRDefault="001A414F" w:rsidP="001A414F">
            <w:pPr>
              <w:jc w:val="right"/>
              <w:rPr>
                <w:rFonts w:asciiTheme="majorHAnsi" w:hAnsiTheme="majorHAnsi" w:cstheme="majorHAnsi"/>
                <w:lang w:val="de-CH" w:eastAsia="de-DE"/>
              </w:rPr>
            </w:pPr>
            <w:r w:rsidRPr="003532A3">
              <w:rPr>
                <w:rFonts w:asciiTheme="majorHAnsi" w:hAnsiTheme="majorHAnsi" w:cstheme="majorHAnsi"/>
                <w:lang w:eastAsia="de-DE"/>
              </w:rPr>
              <w:t xml:space="preserve">As of December </w:t>
            </w:r>
            <w:r>
              <w:rPr>
                <w:rFonts w:asciiTheme="majorHAnsi" w:hAnsiTheme="majorHAnsi" w:cstheme="majorHAnsi"/>
                <w:lang w:eastAsia="de-DE"/>
              </w:rPr>
              <w:t xml:space="preserve">31, </w:t>
            </w:r>
            <w:r w:rsidRPr="003532A3">
              <w:rPr>
                <w:rFonts w:asciiTheme="majorHAnsi" w:hAnsiTheme="majorHAnsi" w:cstheme="majorHAnsi"/>
                <w:lang w:eastAsia="de-DE"/>
              </w:rPr>
              <w:t>2025</w:t>
            </w:r>
          </w:p>
        </w:tc>
      </w:tr>
      <w:tr w:rsidR="001A414F" w14:paraId="30218F1A" w14:textId="77777777" w:rsidTr="00AF714E">
        <w:tc>
          <w:tcPr>
            <w:tcW w:w="3020" w:type="dxa"/>
          </w:tcPr>
          <w:p w14:paraId="4B3CD767" w14:textId="0E3FA0B5" w:rsidR="001A414F" w:rsidRPr="007C28D5" w:rsidRDefault="001A414F" w:rsidP="001A414F">
            <w:r w:rsidRPr="003532A3">
              <w:t>Net cash (net debt)</w:t>
            </w:r>
          </w:p>
        </w:tc>
        <w:tc>
          <w:tcPr>
            <w:tcW w:w="3020" w:type="dxa"/>
          </w:tcPr>
          <w:p w14:paraId="78206F0B" w14:textId="69366426" w:rsidR="001A414F" w:rsidRDefault="001A414F" w:rsidP="001A414F">
            <w:pPr>
              <w:jc w:val="right"/>
              <w:rPr>
                <w:lang w:val="de-CH" w:eastAsia="de-DE"/>
              </w:rPr>
            </w:pPr>
            <w:r w:rsidRPr="003532A3">
              <w:rPr>
                <w:lang w:eastAsia="de-DE"/>
              </w:rPr>
              <w:t>81.7</w:t>
            </w:r>
          </w:p>
        </w:tc>
        <w:tc>
          <w:tcPr>
            <w:tcW w:w="3020" w:type="dxa"/>
          </w:tcPr>
          <w:p w14:paraId="0F50F707" w14:textId="14B88454" w:rsidR="001A414F" w:rsidRDefault="001A414F" w:rsidP="001A414F">
            <w:pPr>
              <w:jc w:val="right"/>
              <w:rPr>
                <w:lang w:val="de-CH" w:eastAsia="de-DE"/>
              </w:rPr>
            </w:pPr>
            <w:r w:rsidRPr="003532A3">
              <w:rPr>
                <w:lang w:eastAsia="de-DE"/>
              </w:rPr>
              <w:t>71.7</w:t>
            </w:r>
          </w:p>
        </w:tc>
      </w:tr>
      <w:tr w:rsidR="001A414F" w14:paraId="2FAA37AC" w14:textId="77777777" w:rsidTr="00AF714E">
        <w:tc>
          <w:tcPr>
            <w:tcW w:w="3020" w:type="dxa"/>
          </w:tcPr>
          <w:p w14:paraId="127B9DD5" w14:textId="2DBFF421" w:rsidR="001A414F" w:rsidRPr="005940E3" w:rsidRDefault="001A414F" w:rsidP="001A414F">
            <w:r w:rsidRPr="003532A3">
              <w:t>Number of employees (FTE)</w:t>
            </w:r>
          </w:p>
        </w:tc>
        <w:tc>
          <w:tcPr>
            <w:tcW w:w="3020" w:type="dxa"/>
          </w:tcPr>
          <w:p w14:paraId="2B62AF80" w14:textId="4169A32A" w:rsidR="001A414F" w:rsidRDefault="001A414F" w:rsidP="001A414F">
            <w:pPr>
              <w:jc w:val="right"/>
              <w:rPr>
                <w:lang w:val="de-CH" w:eastAsia="de-DE"/>
              </w:rPr>
            </w:pPr>
            <w:r w:rsidRPr="003532A3">
              <w:rPr>
                <w:lang w:eastAsia="de-DE"/>
              </w:rPr>
              <w:t>1</w:t>
            </w:r>
            <w:r>
              <w:rPr>
                <w:lang w:eastAsia="de-DE"/>
              </w:rPr>
              <w:t>,</w:t>
            </w:r>
            <w:r w:rsidRPr="003532A3">
              <w:rPr>
                <w:lang w:eastAsia="de-DE"/>
              </w:rPr>
              <w:t>307</w:t>
            </w:r>
          </w:p>
        </w:tc>
        <w:tc>
          <w:tcPr>
            <w:tcW w:w="3020" w:type="dxa"/>
          </w:tcPr>
          <w:p w14:paraId="03F3810B" w14:textId="3FA852CC" w:rsidR="001A414F" w:rsidRDefault="001A414F" w:rsidP="001A414F">
            <w:pPr>
              <w:jc w:val="right"/>
              <w:rPr>
                <w:lang w:val="de-CH" w:eastAsia="de-DE"/>
              </w:rPr>
            </w:pPr>
            <w:r w:rsidRPr="003532A3">
              <w:rPr>
                <w:lang w:eastAsia="de-DE"/>
              </w:rPr>
              <w:t>1</w:t>
            </w:r>
            <w:r>
              <w:rPr>
                <w:lang w:eastAsia="de-DE"/>
              </w:rPr>
              <w:t>,</w:t>
            </w:r>
            <w:r w:rsidRPr="003532A3">
              <w:rPr>
                <w:lang w:eastAsia="de-DE"/>
              </w:rPr>
              <w:t>280</w:t>
            </w:r>
          </w:p>
        </w:tc>
      </w:tr>
    </w:tbl>
    <w:p w14:paraId="069D4616" w14:textId="3E496523" w:rsidR="00035A9B" w:rsidRDefault="00035A9B" w:rsidP="00035A9B">
      <w:pPr>
        <w:pStyle w:val="SensirionSubtitle"/>
      </w:pPr>
    </w:p>
    <w:p w14:paraId="28B1D0A9" w14:textId="77777777" w:rsidR="00130BB0" w:rsidRDefault="00130BB0" w:rsidP="00035A9B">
      <w:pPr>
        <w:pStyle w:val="SensirionSubtitle"/>
      </w:pPr>
    </w:p>
    <w:p w14:paraId="5A9662FA" w14:textId="20B9D578" w:rsidR="00035A9B" w:rsidRDefault="000E2D1F" w:rsidP="00035A9B">
      <w:pPr>
        <w:rPr>
          <w:lang w:eastAsia="de-DE"/>
        </w:rPr>
      </w:pPr>
      <w:r w:rsidRPr="003532A3">
        <w:rPr>
          <w:lang w:eastAsia="de-DE"/>
        </w:rPr>
        <w:t xml:space="preserve">The first half of 2026 closed with revenue of CHF 179.0 million, representing year-on-year growth of 6.9% in local currencies (-3.0% in Swiss francs). </w:t>
      </w:r>
      <w:r w:rsidR="00B4241C">
        <w:rPr>
          <w:lang w:eastAsia="de-DE"/>
        </w:rPr>
        <w:t xml:space="preserve">This development is particularly encouraging given the </w:t>
      </w:r>
      <w:r w:rsidR="00B4241C">
        <w:rPr>
          <w:lang w:eastAsia="de-DE"/>
        </w:rPr>
        <w:lastRenderedPageBreak/>
        <w:t xml:space="preserve">exceptionally strong first half of 2025, which benefited from significant frontloading effects related to A2L leakage sensors. At the same time, the overall conditions remain challenging: uncertainty in global supply chains, geopolitical tensions and the volatile tariff situation continue to shape the market environment. During the reporting period, Sensirion benefited </w:t>
      </w:r>
      <w:proofErr w:type="gramStart"/>
      <w:r w:rsidR="00B4241C">
        <w:rPr>
          <w:lang w:eastAsia="de-DE"/>
        </w:rPr>
        <w:t>in particular from</w:t>
      </w:r>
      <w:proofErr w:type="gramEnd"/>
      <w:r w:rsidR="00B4241C">
        <w:rPr>
          <w:lang w:eastAsia="de-DE"/>
        </w:rPr>
        <w:t xml:space="preserve"> high demand in the medical market and from strong growth in the distribution business across all regions. The ability to continue growing even in a volatile environment demonstrates the importance of sensor solutions to </w:t>
      </w:r>
      <w:r w:rsidR="007D40B2">
        <w:rPr>
          <w:lang w:eastAsia="de-DE"/>
        </w:rPr>
        <w:t>its</w:t>
      </w:r>
      <w:r w:rsidR="00B4241C">
        <w:rPr>
          <w:lang w:eastAsia="de-DE"/>
        </w:rPr>
        <w:t xml:space="preserve"> customers.</w:t>
      </w:r>
    </w:p>
    <w:p w14:paraId="3848BD39" w14:textId="77777777" w:rsidR="00536945" w:rsidRPr="003532A3" w:rsidRDefault="00536945" w:rsidP="00536945">
      <w:pPr>
        <w:rPr>
          <w:lang w:eastAsia="de-DE"/>
        </w:rPr>
      </w:pPr>
      <w:r w:rsidRPr="003532A3">
        <w:rPr>
          <w:lang w:eastAsia="de-DE"/>
        </w:rPr>
        <w:t>As expected, profitability remained stable in the reporting period: the gross margin was 52.6% (previous year: 51.5%) and the EBITDA margin</w:t>
      </w:r>
      <w:r>
        <w:rPr>
          <w:lang w:eastAsia="de-DE"/>
        </w:rPr>
        <w:t xml:space="preserve"> was</w:t>
      </w:r>
      <w:r w:rsidRPr="003532A3">
        <w:rPr>
          <w:lang w:eastAsia="de-DE"/>
        </w:rPr>
        <w:t xml:space="preserve"> 19.5% (previous year: 19.8%). Despite the continued strength of the Swiss franc and </w:t>
      </w:r>
      <w:r>
        <w:rPr>
          <w:lang w:eastAsia="de-DE"/>
        </w:rPr>
        <w:t xml:space="preserve">the </w:t>
      </w:r>
      <w:r w:rsidRPr="003532A3">
        <w:rPr>
          <w:lang w:eastAsia="de-DE"/>
        </w:rPr>
        <w:t xml:space="preserve">worldwide </w:t>
      </w:r>
      <w:r>
        <w:rPr>
          <w:lang w:eastAsia="de-DE"/>
        </w:rPr>
        <w:t xml:space="preserve">issue of </w:t>
      </w:r>
      <w:r w:rsidRPr="003532A3">
        <w:rPr>
          <w:lang w:eastAsia="de-DE"/>
        </w:rPr>
        <w:t xml:space="preserve">rising raw material prices due to geopolitical uncertainty, Sensirion was able to maintain profitability at a high level. This was achieved through systematic improvements </w:t>
      </w:r>
      <w:r>
        <w:rPr>
          <w:lang w:eastAsia="de-DE"/>
        </w:rPr>
        <w:t xml:space="preserve">to </w:t>
      </w:r>
      <w:r w:rsidRPr="003532A3">
        <w:rPr>
          <w:lang w:eastAsia="de-DE"/>
        </w:rPr>
        <w:t xml:space="preserve">efficiency along the entire value chain, targeted price adjustments and the continued internationalization of activities. Together, these measures largely offset the negative impact of currency effects and higher material costs. </w:t>
      </w:r>
    </w:p>
    <w:p w14:paraId="3AC82F66" w14:textId="0CC1EC69" w:rsidR="00035A9B" w:rsidRDefault="00536945" w:rsidP="00536945">
      <w:pPr>
        <w:rPr>
          <w:lang w:eastAsia="de-DE"/>
        </w:rPr>
      </w:pPr>
      <w:r w:rsidRPr="003532A3">
        <w:rPr>
          <w:lang w:eastAsia="de-DE"/>
        </w:rPr>
        <w:t xml:space="preserve">Net profit was particularly encouraging, rising significantly year-on-year to CHF 18.9 million (previous year: CHF 10.4 million) due to an improved financial result. At the same time, operating cash flow increased to CHF 34.0 million (+20% year-on-year). Free cash flow amounted to CHF 10.6 million, despite investments of CHF 8.2 million in the construction of the new production building in </w:t>
      </w:r>
      <w:proofErr w:type="spellStart"/>
      <w:r w:rsidRPr="003532A3">
        <w:rPr>
          <w:lang w:eastAsia="de-DE"/>
        </w:rPr>
        <w:t>Stäfa</w:t>
      </w:r>
      <w:proofErr w:type="spellEnd"/>
      <w:r>
        <w:rPr>
          <w:lang w:eastAsia="de-DE"/>
        </w:rPr>
        <w:t>, Switzerland</w:t>
      </w:r>
      <w:r w:rsidRPr="003532A3">
        <w:rPr>
          <w:lang w:eastAsia="de-DE"/>
        </w:rPr>
        <w:t>. Sensirion therefore continues to have a strong financial foundation for making targeted investments in innovation, capacity and strategic growth areas</w:t>
      </w:r>
      <w:r w:rsidR="00035A9B">
        <w:rPr>
          <w:lang w:eastAsia="de-DE"/>
        </w:rPr>
        <w:t>.</w:t>
      </w:r>
    </w:p>
    <w:p w14:paraId="2CCF428F" w14:textId="77777777" w:rsidR="00035A9B" w:rsidRDefault="00035A9B" w:rsidP="00035A9B">
      <w:pPr>
        <w:rPr>
          <w:lang w:eastAsia="de-DE"/>
        </w:rPr>
      </w:pPr>
    </w:p>
    <w:p w14:paraId="26392E02" w14:textId="77777777" w:rsidR="00035A9B" w:rsidRDefault="00035A9B" w:rsidP="00035A9B">
      <w:pPr>
        <w:pStyle w:val="SensirionSubtitle"/>
      </w:pPr>
      <w:r>
        <w:t>Growth supported by all four end markets</w:t>
      </w:r>
    </w:p>
    <w:p w14:paraId="7AA6D632" w14:textId="4CE8C7EE" w:rsidR="00035A9B" w:rsidRDefault="00035A9B" w:rsidP="00035A9B">
      <w:pPr>
        <w:rPr>
          <w:lang w:eastAsia="de-DE"/>
        </w:rPr>
      </w:pPr>
      <w:r>
        <w:rPr>
          <w:lang w:eastAsia="de-DE"/>
        </w:rPr>
        <w:t xml:space="preserve">In the reporting period, revenue in the automotive market rose to CHF 40.6 million, an encouraging year-on-year increase of 11% in local currencies (+3% in Swiss francs). In view of the ongoing structural challenges facing the Western automotive industry, this result underscores the strength of </w:t>
      </w:r>
      <w:proofErr w:type="spellStart"/>
      <w:r w:rsidR="00F55BCB">
        <w:rPr>
          <w:lang w:eastAsia="de-DE"/>
        </w:rPr>
        <w:t>Sensirion’s</w:t>
      </w:r>
      <w:proofErr w:type="spellEnd"/>
      <w:r w:rsidR="00F55BCB">
        <w:rPr>
          <w:lang w:eastAsia="de-DE"/>
        </w:rPr>
        <w:t xml:space="preserve"> </w:t>
      </w:r>
      <w:r>
        <w:rPr>
          <w:lang w:eastAsia="de-DE"/>
        </w:rPr>
        <w:t xml:space="preserve">market position. In addition to </w:t>
      </w:r>
      <w:r w:rsidR="00F55BCB">
        <w:rPr>
          <w:lang w:eastAsia="de-DE"/>
        </w:rPr>
        <w:t xml:space="preserve">the </w:t>
      </w:r>
      <w:r>
        <w:rPr>
          <w:lang w:eastAsia="de-DE"/>
        </w:rPr>
        <w:t>established presence in existing applications, new growth areas also made a measurable contribution to revenue, particularly solutions for battery monitoring in electric vehicles, where the first series production runs were successfully started at European customers. This will pave the way for further growth over the coming years in a strategically important emerging market.</w:t>
      </w:r>
    </w:p>
    <w:p w14:paraId="6D742356" w14:textId="77777777" w:rsidR="00035A9B" w:rsidRDefault="00035A9B" w:rsidP="00035A9B">
      <w:pPr>
        <w:rPr>
          <w:lang w:eastAsia="de-DE"/>
        </w:rPr>
      </w:pPr>
    </w:p>
    <w:p w14:paraId="1B7C9F18" w14:textId="77777777" w:rsidR="00035A9B" w:rsidRDefault="00035A9B" w:rsidP="00035A9B">
      <w:pPr>
        <w:rPr>
          <w:lang w:eastAsia="de-DE"/>
        </w:rPr>
      </w:pPr>
      <w:r>
        <w:rPr>
          <w:lang w:eastAsia="de-DE"/>
        </w:rPr>
        <w:t xml:space="preserve">The medical technology market also performed well in the first half of 2026, generating revenue of CHF 28.7 million. This corresponds to year-on-year growth of 10% in local currencies (+1% in Swiss francs). Compared with the second half of 2025, revenue increased by around 39%, underscoring the current strong demand in this end market. The growth was driven primarily by CPAP and ventilation applications. </w:t>
      </w:r>
    </w:p>
    <w:p w14:paraId="16F01125" w14:textId="77777777" w:rsidR="00035A9B" w:rsidRDefault="00035A9B" w:rsidP="00035A9B">
      <w:pPr>
        <w:rPr>
          <w:lang w:eastAsia="de-DE"/>
        </w:rPr>
      </w:pPr>
    </w:p>
    <w:p w14:paraId="12CE7F7A" w14:textId="0208E471" w:rsidR="00035A9B" w:rsidRDefault="00035A9B" w:rsidP="00035A9B">
      <w:pPr>
        <w:rPr>
          <w:lang w:eastAsia="de-DE"/>
        </w:rPr>
      </w:pPr>
      <w:r>
        <w:rPr>
          <w:lang w:eastAsia="de-DE"/>
        </w:rPr>
        <w:t xml:space="preserve">The broadly diversified industrial market generated revenue of CHF 97.4 million in the first half of 2026, maintaining the high level of the prior-year period in local currencies (+1% in local currencies, -9% in Swiss francs). Given the strong frontloading effects in the A2L business in the first half of 2025, </w:t>
      </w:r>
      <w:r w:rsidR="00905E90">
        <w:rPr>
          <w:lang w:eastAsia="de-DE"/>
        </w:rPr>
        <w:t>Sensirion</w:t>
      </w:r>
      <w:r>
        <w:rPr>
          <w:lang w:eastAsia="de-DE"/>
        </w:rPr>
        <w:t xml:space="preserve"> consider</w:t>
      </w:r>
      <w:r w:rsidR="00905E90">
        <w:rPr>
          <w:lang w:eastAsia="de-DE"/>
        </w:rPr>
        <w:t>s</w:t>
      </w:r>
      <w:r>
        <w:rPr>
          <w:lang w:eastAsia="de-DE"/>
        </w:rPr>
        <w:t xml:space="preserve"> this a positive result. Growth in other industrial areas offset the expected normalization of the A2L business. Gas metering and gas chromatography applications performed particularly strongly. </w:t>
      </w:r>
    </w:p>
    <w:p w14:paraId="197963A3" w14:textId="77777777" w:rsidR="00534B89" w:rsidRPr="003532A3" w:rsidRDefault="00534B89" w:rsidP="00534B89">
      <w:pPr>
        <w:rPr>
          <w:lang w:eastAsia="de-DE"/>
        </w:rPr>
      </w:pPr>
      <w:r w:rsidRPr="003532A3">
        <w:rPr>
          <w:lang w:eastAsia="de-DE"/>
        </w:rPr>
        <w:t xml:space="preserve">The market situation for refrigerant leakage detection is developing as expected: although the US-focused market for A2L leakage detection remains competitive, Sensirion was able to hold </w:t>
      </w:r>
      <w:r>
        <w:rPr>
          <w:lang w:eastAsia="de-DE"/>
        </w:rPr>
        <w:t xml:space="preserve">its </w:t>
      </w:r>
      <w:r w:rsidRPr="003532A3">
        <w:rPr>
          <w:lang w:eastAsia="de-DE"/>
        </w:rPr>
        <w:t xml:space="preserve">ground thanks to </w:t>
      </w:r>
      <w:r>
        <w:rPr>
          <w:lang w:eastAsia="de-DE"/>
        </w:rPr>
        <w:t>its</w:t>
      </w:r>
      <w:r w:rsidRPr="003532A3">
        <w:rPr>
          <w:lang w:eastAsia="de-DE"/>
        </w:rPr>
        <w:t xml:space="preserve"> strong market position, technology leadership and close collaboration with leading OEMs. In the emerging market for A3 leakage detection, both the market and technology are developing in line with expectations. Building on the strong position in the A2L market, Sensirion is working with leading OEMs on the next generation of leakage detection solutions, thereby laying the foundation for future growth.</w:t>
      </w:r>
    </w:p>
    <w:p w14:paraId="08B2BCDA" w14:textId="77777777" w:rsidR="00035A9B" w:rsidRDefault="00035A9B" w:rsidP="00035A9B">
      <w:pPr>
        <w:rPr>
          <w:lang w:eastAsia="de-DE"/>
        </w:rPr>
      </w:pPr>
    </w:p>
    <w:p w14:paraId="4C03B41D" w14:textId="1FAC06F8" w:rsidR="00035A9B" w:rsidRDefault="00035A9B" w:rsidP="00035A9B">
      <w:pPr>
        <w:rPr>
          <w:lang w:eastAsia="de-DE"/>
        </w:rPr>
      </w:pPr>
      <w:r>
        <w:rPr>
          <w:lang w:eastAsia="de-DE"/>
        </w:rPr>
        <w:t xml:space="preserve">The highly fragmented consumer market again posted strong growth, with revenue increasing by around 45% in local currencies (+27% in Swiss francs) to CHF 12.3 million in the first half of 2026. This </w:t>
      </w:r>
      <w:r>
        <w:rPr>
          <w:lang w:eastAsia="de-DE"/>
        </w:rPr>
        <w:lastRenderedPageBreak/>
        <w:t xml:space="preserve">development was driven primarily by the distribution business, which saw high demand in all three regions. With its broad customer and application base, the consumer market is an increasingly important part of </w:t>
      </w:r>
      <w:proofErr w:type="spellStart"/>
      <w:r w:rsidR="006C7CCC">
        <w:rPr>
          <w:lang w:eastAsia="de-DE"/>
        </w:rPr>
        <w:t>Sensirion’s</w:t>
      </w:r>
      <w:proofErr w:type="spellEnd"/>
      <w:r>
        <w:rPr>
          <w:lang w:eastAsia="de-DE"/>
        </w:rPr>
        <w:t xml:space="preserve"> portfolio and makes a significant contribution to the diversification of </w:t>
      </w:r>
      <w:r w:rsidR="006C7CCC">
        <w:rPr>
          <w:lang w:eastAsia="de-DE"/>
        </w:rPr>
        <w:t>the</w:t>
      </w:r>
      <w:r>
        <w:rPr>
          <w:lang w:eastAsia="de-DE"/>
        </w:rPr>
        <w:t xml:space="preserve"> business. </w:t>
      </w:r>
    </w:p>
    <w:p w14:paraId="452189DC" w14:textId="77777777" w:rsidR="00035A9B" w:rsidRDefault="00035A9B" w:rsidP="00035A9B">
      <w:pPr>
        <w:rPr>
          <w:lang w:eastAsia="de-DE"/>
        </w:rPr>
      </w:pPr>
    </w:p>
    <w:p w14:paraId="32B2A825" w14:textId="77777777" w:rsidR="00035A9B" w:rsidRDefault="00035A9B" w:rsidP="00035A9B">
      <w:pPr>
        <w:pStyle w:val="SensirionSubtitle"/>
      </w:pPr>
      <w:r>
        <w:t>“We measure gases”: ambitious growth strategy in the field of smart gas sensing</w:t>
      </w:r>
    </w:p>
    <w:p w14:paraId="0AE96A83" w14:textId="23BFE0A8" w:rsidR="00035A9B" w:rsidRDefault="00035A9B" w:rsidP="00035A9B">
      <w:pPr>
        <w:rPr>
          <w:lang w:eastAsia="de-DE"/>
        </w:rPr>
      </w:pPr>
      <w:r>
        <w:rPr>
          <w:lang w:eastAsia="de-DE"/>
        </w:rPr>
        <w:t xml:space="preserve">At </w:t>
      </w:r>
      <w:r w:rsidR="006C7CCC">
        <w:rPr>
          <w:lang w:eastAsia="de-DE"/>
        </w:rPr>
        <w:t>the</w:t>
      </w:r>
      <w:r>
        <w:rPr>
          <w:lang w:eastAsia="de-DE"/>
        </w:rPr>
        <w:t xml:space="preserve"> Capital Markets Day in April 2026, </w:t>
      </w:r>
      <w:r w:rsidR="006C7CCC">
        <w:rPr>
          <w:lang w:eastAsia="de-DE"/>
        </w:rPr>
        <w:t xml:space="preserve">Sensirion </w:t>
      </w:r>
      <w:r>
        <w:rPr>
          <w:lang w:eastAsia="de-DE"/>
        </w:rPr>
        <w:t xml:space="preserve">honed </w:t>
      </w:r>
      <w:r w:rsidR="006C7CCC">
        <w:rPr>
          <w:lang w:eastAsia="de-DE"/>
        </w:rPr>
        <w:t>its</w:t>
      </w:r>
      <w:r>
        <w:rPr>
          <w:lang w:eastAsia="de-DE"/>
        </w:rPr>
        <w:t xml:space="preserve"> growth strategy under the banner “We measure gases” and set out how </w:t>
      </w:r>
      <w:r w:rsidR="004441EC">
        <w:rPr>
          <w:lang w:eastAsia="de-DE"/>
        </w:rPr>
        <w:t>it</w:t>
      </w:r>
      <w:r>
        <w:rPr>
          <w:lang w:eastAsia="de-DE"/>
        </w:rPr>
        <w:t xml:space="preserve"> intend</w:t>
      </w:r>
      <w:r w:rsidR="004441EC">
        <w:rPr>
          <w:lang w:eastAsia="de-DE"/>
        </w:rPr>
        <w:t>s</w:t>
      </w:r>
      <w:r>
        <w:rPr>
          <w:lang w:eastAsia="de-DE"/>
        </w:rPr>
        <w:t xml:space="preserve"> to further expand </w:t>
      </w:r>
      <w:r w:rsidR="004441EC">
        <w:rPr>
          <w:lang w:eastAsia="de-DE"/>
        </w:rPr>
        <w:t xml:space="preserve">the </w:t>
      </w:r>
      <w:r>
        <w:rPr>
          <w:lang w:eastAsia="de-DE"/>
        </w:rPr>
        <w:t>position as a leading provider of sensor solutions.</w:t>
      </w:r>
    </w:p>
    <w:p w14:paraId="37A7D99D" w14:textId="6874EB10" w:rsidR="00035A9B" w:rsidRDefault="00035A9B" w:rsidP="00035A9B">
      <w:pPr>
        <w:rPr>
          <w:lang w:eastAsia="de-DE"/>
        </w:rPr>
      </w:pPr>
      <w:r>
        <w:rPr>
          <w:lang w:eastAsia="de-DE"/>
        </w:rPr>
        <w:t xml:space="preserve">Sensirion now has one of the world’s most comprehensive technology portfolios for the precise measurement and analysis of small gas volumes. Combined with extensive application expertise and long-standing customer relationships, this provides the basis for </w:t>
      </w:r>
      <w:r w:rsidR="004441EC">
        <w:rPr>
          <w:lang w:eastAsia="de-DE"/>
        </w:rPr>
        <w:t xml:space="preserve">the </w:t>
      </w:r>
      <w:r>
        <w:rPr>
          <w:lang w:eastAsia="de-DE"/>
        </w:rPr>
        <w:t xml:space="preserve">leading market </w:t>
      </w:r>
      <w:r w:rsidR="00AA52DE">
        <w:rPr>
          <w:lang w:eastAsia="de-DE"/>
        </w:rPr>
        <w:t>position</w:t>
      </w:r>
      <w:r>
        <w:rPr>
          <w:lang w:eastAsia="de-DE"/>
        </w:rPr>
        <w:t xml:space="preserve"> in</w:t>
      </w:r>
      <w:r w:rsidR="0077452E">
        <w:rPr>
          <w:lang w:eastAsia="de-DE"/>
        </w:rPr>
        <w:t xml:space="preserve"> </w:t>
      </w:r>
      <w:r>
        <w:rPr>
          <w:lang w:eastAsia="de-DE"/>
        </w:rPr>
        <w:t>existing applications. Based on these strengths,</w:t>
      </w:r>
      <w:r w:rsidR="0077452E">
        <w:rPr>
          <w:lang w:eastAsia="de-DE"/>
        </w:rPr>
        <w:t xml:space="preserve"> Sensirion is </w:t>
      </w:r>
      <w:r>
        <w:rPr>
          <w:lang w:eastAsia="de-DE"/>
        </w:rPr>
        <w:t xml:space="preserve">pursuing the clear goal of becoming a leader in the broader area of smart gas sensing by 2030. To this end, </w:t>
      </w:r>
      <w:r w:rsidR="00AA52DE">
        <w:rPr>
          <w:lang w:eastAsia="de-DE"/>
        </w:rPr>
        <w:t>the company is</w:t>
      </w:r>
      <w:r>
        <w:rPr>
          <w:lang w:eastAsia="de-DE"/>
        </w:rPr>
        <w:t xml:space="preserve"> focusing on critical applications in which precise gas measurement makes a significant contribution to safety, health, energy efficiency, regulatory compliance and industrial process quality. In these demanding fields of application, individual sensor components alone are no longer sufficient. What is needed are intelligent and reliable sensor solutions that are deeply integrated into </w:t>
      </w:r>
      <w:r w:rsidR="00AA52DE">
        <w:rPr>
          <w:lang w:eastAsia="de-DE"/>
        </w:rPr>
        <w:t>the</w:t>
      </w:r>
      <w:r>
        <w:rPr>
          <w:lang w:eastAsia="de-DE"/>
        </w:rPr>
        <w:t xml:space="preserve"> customers’ systems.</w:t>
      </w:r>
    </w:p>
    <w:p w14:paraId="3D543473" w14:textId="77777777" w:rsidR="00035A9B" w:rsidRDefault="00035A9B" w:rsidP="00035A9B">
      <w:pPr>
        <w:rPr>
          <w:lang w:eastAsia="de-DE"/>
        </w:rPr>
      </w:pPr>
      <w:r>
        <w:rPr>
          <w:lang w:eastAsia="de-DE"/>
        </w:rPr>
        <w:t>Smart gas sensing is a rapidly growing billion-dollar market, supported by long-term megatrends such as increasing safety requirements, tighter regulation, greater energy efficiency and growing demand for modern health monitoring. These developments are creating attractive growth opportunities for intelligent sensor solutions worldwide.</w:t>
      </w:r>
    </w:p>
    <w:p w14:paraId="626D0681" w14:textId="77777777" w:rsidR="00035A9B" w:rsidRDefault="00035A9B" w:rsidP="00035A9B">
      <w:pPr>
        <w:rPr>
          <w:lang w:eastAsia="de-DE"/>
        </w:rPr>
      </w:pPr>
    </w:p>
    <w:p w14:paraId="0B9F5DD4" w14:textId="050D8DE4" w:rsidR="00035A9B" w:rsidRDefault="00035A9B" w:rsidP="00035A9B">
      <w:pPr>
        <w:rPr>
          <w:lang w:eastAsia="de-DE"/>
        </w:rPr>
      </w:pPr>
      <w:r>
        <w:rPr>
          <w:lang w:eastAsia="de-DE"/>
        </w:rPr>
        <w:t xml:space="preserve">Building on existing market positions, </w:t>
      </w:r>
      <w:r w:rsidR="00AA52DE">
        <w:rPr>
          <w:lang w:eastAsia="de-DE"/>
        </w:rPr>
        <w:t>Sensirion</w:t>
      </w:r>
      <w:r>
        <w:rPr>
          <w:lang w:eastAsia="de-DE"/>
        </w:rPr>
        <w:t xml:space="preserve"> ha</w:t>
      </w:r>
      <w:r w:rsidR="00AA52DE">
        <w:rPr>
          <w:lang w:eastAsia="de-DE"/>
        </w:rPr>
        <w:t>s</w:t>
      </w:r>
      <w:r>
        <w:rPr>
          <w:lang w:eastAsia="de-DE"/>
        </w:rPr>
        <w:t xml:space="preserve"> identified more than ten specific growth areas across all end markets. Each of these offers long-term revenue potential in the hundreds of millions and is supported by strong structural growth drivers. </w:t>
      </w:r>
      <w:r w:rsidR="00AA52DE">
        <w:rPr>
          <w:lang w:eastAsia="de-DE"/>
        </w:rPr>
        <w:t>The company’s</w:t>
      </w:r>
      <w:r>
        <w:rPr>
          <w:lang w:eastAsia="de-DE"/>
        </w:rPr>
        <w:t xml:space="preserve"> growth strategy is therefore based on a broadly diversified portfolio of attractive areas of application. Examples include leakage detection for critical gases, battery monitoring in electric vehicles, breath gas analysis and industrial gas analysis. </w:t>
      </w:r>
      <w:proofErr w:type="gramStart"/>
      <w:r>
        <w:rPr>
          <w:lang w:eastAsia="de-DE"/>
        </w:rPr>
        <w:t>All of</w:t>
      </w:r>
      <w:proofErr w:type="gramEnd"/>
      <w:r>
        <w:rPr>
          <w:lang w:eastAsia="de-DE"/>
        </w:rPr>
        <w:t xml:space="preserve"> these growth areas address relevant customer problems, are technologically demanding and build on </w:t>
      </w:r>
      <w:proofErr w:type="spellStart"/>
      <w:r>
        <w:rPr>
          <w:lang w:eastAsia="de-DE"/>
        </w:rPr>
        <w:t>Sensirion’s</w:t>
      </w:r>
      <w:proofErr w:type="spellEnd"/>
      <w:r>
        <w:rPr>
          <w:lang w:eastAsia="de-DE"/>
        </w:rPr>
        <w:t xml:space="preserve"> existing strengths. </w:t>
      </w:r>
    </w:p>
    <w:p w14:paraId="7BDF551F" w14:textId="279CA83A" w:rsidR="00035A9B" w:rsidRDefault="00035A9B" w:rsidP="00035A9B">
      <w:pPr>
        <w:rPr>
          <w:lang w:eastAsia="de-DE"/>
        </w:rPr>
      </w:pPr>
      <w:r>
        <w:rPr>
          <w:lang w:eastAsia="de-DE"/>
        </w:rPr>
        <w:t xml:space="preserve">Alongside these areas, improving </w:t>
      </w:r>
      <w:r w:rsidR="00AA52DE">
        <w:rPr>
          <w:lang w:eastAsia="de-DE"/>
        </w:rPr>
        <w:t>resilience</w:t>
      </w:r>
      <w:r>
        <w:rPr>
          <w:lang w:eastAsia="de-DE"/>
        </w:rPr>
        <w:t xml:space="preserve"> remains a key pillar of </w:t>
      </w:r>
      <w:r w:rsidR="00AA52DE">
        <w:rPr>
          <w:lang w:eastAsia="de-DE"/>
        </w:rPr>
        <w:t>the</w:t>
      </w:r>
      <w:r>
        <w:rPr>
          <w:lang w:eastAsia="de-DE"/>
        </w:rPr>
        <w:t xml:space="preserve"> growth strategy. In an ever more volatile world, this is becoming increasingly important. </w:t>
      </w:r>
      <w:r w:rsidR="00BE0165">
        <w:rPr>
          <w:lang w:eastAsia="de-DE"/>
        </w:rPr>
        <w:t xml:space="preserve">Sensirion is </w:t>
      </w:r>
      <w:r>
        <w:rPr>
          <w:lang w:eastAsia="de-DE"/>
        </w:rPr>
        <w:t xml:space="preserve">therefore working systematically on strengthening </w:t>
      </w:r>
      <w:r w:rsidR="00BE0165">
        <w:rPr>
          <w:lang w:eastAsia="de-DE"/>
        </w:rPr>
        <w:t xml:space="preserve">its </w:t>
      </w:r>
      <w:r>
        <w:rPr>
          <w:lang w:eastAsia="de-DE"/>
        </w:rPr>
        <w:t xml:space="preserve">supply chains and safeguarding critical processes. One important milestone is the construction of </w:t>
      </w:r>
      <w:r w:rsidR="00BE0165">
        <w:rPr>
          <w:lang w:eastAsia="de-DE"/>
        </w:rPr>
        <w:t xml:space="preserve">the </w:t>
      </w:r>
      <w:r>
        <w:rPr>
          <w:lang w:eastAsia="de-DE"/>
        </w:rPr>
        <w:t xml:space="preserve">second cleanroom in </w:t>
      </w:r>
      <w:proofErr w:type="spellStart"/>
      <w:r>
        <w:rPr>
          <w:lang w:eastAsia="de-DE"/>
        </w:rPr>
        <w:t>Stäfa</w:t>
      </w:r>
      <w:proofErr w:type="spellEnd"/>
      <w:r>
        <w:rPr>
          <w:lang w:eastAsia="de-DE"/>
        </w:rPr>
        <w:t xml:space="preserve">, which is progressing on schedule and within budget. This additional infrastructure will create </w:t>
      </w:r>
      <w:r w:rsidR="00603DDB">
        <w:rPr>
          <w:lang w:eastAsia="de-DE"/>
        </w:rPr>
        <w:t>conditions</w:t>
      </w:r>
      <w:r>
        <w:rPr>
          <w:lang w:eastAsia="de-DE"/>
        </w:rPr>
        <w:t xml:space="preserve"> for further growth while also increasing the redundancy of production and thereby strengthening </w:t>
      </w:r>
      <w:r w:rsidR="00D74F06">
        <w:rPr>
          <w:lang w:eastAsia="de-DE"/>
        </w:rPr>
        <w:t xml:space="preserve">the </w:t>
      </w:r>
      <w:r>
        <w:rPr>
          <w:lang w:eastAsia="de-DE"/>
        </w:rPr>
        <w:t>long-term security of supply for customers.</w:t>
      </w:r>
    </w:p>
    <w:p w14:paraId="41D16E90" w14:textId="77777777" w:rsidR="00035A9B" w:rsidRDefault="00035A9B" w:rsidP="00035A9B">
      <w:pPr>
        <w:rPr>
          <w:lang w:eastAsia="de-DE"/>
        </w:rPr>
      </w:pPr>
    </w:p>
    <w:p w14:paraId="1A8B5E29" w14:textId="77777777" w:rsidR="00035A9B" w:rsidRDefault="00035A9B" w:rsidP="00035A9B">
      <w:pPr>
        <w:pStyle w:val="SensirionSubtitle"/>
      </w:pPr>
      <w:r>
        <w:t>New management structure to support growth strategy</w:t>
      </w:r>
    </w:p>
    <w:p w14:paraId="731D31BE" w14:textId="77777777" w:rsidR="00EB0821" w:rsidRPr="003532A3" w:rsidRDefault="00EB0821" w:rsidP="00EB0821">
      <w:pPr>
        <w:rPr>
          <w:lang w:eastAsia="de-DE"/>
        </w:rPr>
      </w:pPr>
      <w:r w:rsidRPr="003532A3">
        <w:rPr>
          <w:lang w:eastAsia="de-DE"/>
        </w:rPr>
        <w:t xml:space="preserve">To consistently implement the ambitious growth strategy, </w:t>
      </w:r>
      <w:proofErr w:type="spellStart"/>
      <w:r w:rsidRPr="003532A3">
        <w:rPr>
          <w:lang w:eastAsia="de-DE"/>
        </w:rPr>
        <w:t>Sensirion</w:t>
      </w:r>
      <w:r>
        <w:rPr>
          <w:lang w:eastAsia="de-DE"/>
        </w:rPr>
        <w:t>’s</w:t>
      </w:r>
      <w:proofErr w:type="spellEnd"/>
      <w:r w:rsidRPr="003532A3">
        <w:rPr>
          <w:lang w:eastAsia="de-DE"/>
        </w:rPr>
        <w:t xml:space="preserve"> management structure</w:t>
      </w:r>
      <w:r>
        <w:rPr>
          <w:lang w:eastAsia="de-DE"/>
        </w:rPr>
        <w:t xml:space="preserve"> is also evolving</w:t>
      </w:r>
      <w:r w:rsidRPr="003532A3">
        <w:rPr>
          <w:lang w:eastAsia="de-DE"/>
        </w:rPr>
        <w:t>. Going forward, the company will align the different responsibilities even more closely with the requirements of the business</w:t>
      </w:r>
      <w:r>
        <w:rPr>
          <w:lang w:eastAsia="de-DE"/>
        </w:rPr>
        <w:t>.</w:t>
      </w:r>
    </w:p>
    <w:p w14:paraId="420A2F73" w14:textId="77777777" w:rsidR="00EB0821" w:rsidRPr="003532A3" w:rsidRDefault="00EB0821" w:rsidP="00EB0821">
      <w:pPr>
        <w:rPr>
          <w:lang w:eastAsia="de-DE"/>
        </w:rPr>
      </w:pPr>
      <w:r w:rsidRPr="003532A3">
        <w:rPr>
          <w:lang w:eastAsia="de-DE"/>
        </w:rPr>
        <w:t xml:space="preserve"> </w:t>
      </w:r>
    </w:p>
    <w:p w14:paraId="1BCB1822" w14:textId="77777777" w:rsidR="00EB0821" w:rsidRPr="003532A3" w:rsidRDefault="00EB0821" w:rsidP="00EB0821">
      <w:pPr>
        <w:rPr>
          <w:lang w:eastAsia="de-DE"/>
        </w:rPr>
      </w:pPr>
      <w:r w:rsidRPr="003532A3">
        <w:rPr>
          <w:lang w:eastAsia="de-DE"/>
        </w:rPr>
        <w:t>The activities in sensor solutions will be bundled organizationally under the name “Market Solutions</w:t>
      </w:r>
      <w:r>
        <w:rPr>
          <w:lang w:eastAsia="de-DE"/>
        </w:rPr>
        <w:t>.</w:t>
      </w:r>
      <w:r w:rsidRPr="003532A3">
        <w:rPr>
          <w:lang w:eastAsia="de-DE"/>
        </w:rPr>
        <w:t>” This includes dedicated units for the strategic automotive, medical, HVAC, industrial and connected solutions end markets. A stronger focus on market and customer needs will make it possible to develop innovative solutions for smart gas sensing in a more targeted way, strengthen customer relationships and tap into new growth areas more quickly.</w:t>
      </w:r>
    </w:p>
    <w:p w14:paraId="5969A385" w14:textId="77777777" w:rsidR="00EB0821" w:rsidRPr="003532A3" w:rsidRDefault="00EB0821" w:rsidP="00EB0821">
      <w:pPr>
        <w:rPr>
          <w:lang w:eastAsia="de-DE"/>
        </w:rPr>
      </w:pPr>
      <w:r w:rsidRPr="003532A3">
        <w:rPr>
          <w:lang w:eastAsia="de-DE"/>
        </w:rPr>
        <w:t xml:space="preserve">At the same time, management of the activities </w:t>
      </w:r>
      <w:r>
        <w:rPr>
          <w:lang w:eastAsia="de-DE"/>
        </w:rPr>
        <w:t>in C</w:t>
      </w:r>
      <w:r w:rsidRPr="003532A3">
        <w:rPr>
          <w:lang w:eastAsia="de-DE"/>
        </w:rPr>
        <w:t>omponents will be more firmly anchored within the Executive Committee. The company is thereby creating the focus needed to systematically scale the business, strengthen its technology leadership and drive operational excellence.</w:t>
      </w:r>
    </w:p>
    <w:p w14:paraId="44B316FC" w14:textId="77777777" w:rsidR="00EB0821" w:rsidRPr="003532A3" w:rsidRDefault="00EB0821" w:rsidP="00EB0821">
      <w:pPr>
        <w:rPr>
          <w:lang w:eastAsia="de-DE"/>
        </w:rPr>
      </w:pPr>
      <w:r w:rsidRPr="003532A3">
        <w:rPr>
          <w:lang w:eastAsia="de-DE"/>
        </w:rPr>
        <w:t xml:space="preserve"> </w:t>
      </w:r>
    </w:p>
    <w:p w14:paraId="2DE2C3E7" w14:textId="25858A14" w:rsidR="00035A9B" w:rsidRDefault="00EB0821" w:rsidP="00EB0821">
      <w:pPr>
        <w:rPr>
          <w:lang w:eastAsia="de-DE"/>
        </w:rPr>
      </w:pPr>
      <w:r w:rsidRPr="003532A3">
        <w:rPr>
          <w:lang w:eastAsia="de-DE"/>
        </w:rPr>
        <w:lastRenderedPageBreak/>
        <w:t>At Executive Committee level, this will result in new responsibilities from October 1, 2026: Johannes Schumm, previously VP Research &amp; Development, will lead the Components business area. Simon Sonderfeld, previously VP Marketing &amp; Sales, will be responsible for Market Solutions</w:t>
      </w:r>
      <w:r w:rsidR="00035A9B">
        <w:rPr>
          <w:lang w:eastAsia="de-DE"/>
        </w:rPr>
        <w:t>.</w:t>
      </w:r>
    </w:p>
    <w:p w14:paraId="730C4056" w14:textId="77777777" w:rsidR="00035A9B" w:rsidRDefault="00035A9B" w:rsidP="00035A9B">
      <w:pPr>
        <w:rPr>
          <w:lang w:eastAsia="de-DE"/>
        </w:rPr>
      </w:pPr>
    </w:p>
    <w:p w14:paraId="380D1E46" w14:textId="77777777" w:rsidR="00035A9B" w:rsidRDefault="00035A9B" w:rsidP="00035A9B">
      <w:pPr>
        <w:pStyle w:val="SensirionSubtitle"/>
      </w:pPr>
      <w:r>
        <w:t>Revenue forecast for 2026 increased</w:t>
      </w:r>
    </w:p>
    <w:p w14:paraId="646518B2" w14:textId="77777777" w:rsidR="00F2272A" w:rsidRPr="003532A3" w:rsidRDefault="00F2272A" w:rsidP="00D15550">
      <w:pPr>
        <w:rPr>
          <w:lang w:eastAsia="de-DE"/>
        </w:rPr>
      </w:pPr>
      <w:r w:rsidRPr="003532A3">
        <w:rPr>
          <w:lang w:eastAsia="de-DE"/>
        </w:rPr>
        <w:t xml:space="preserve">Based on the solid half-year result and the continued positive performance, Sensirion is raising its revenue forecast for 2026 from CHF 335–360 million to CHF 345–365 million. This underscores the resilience of the business and the confidence in its continued development in a market environment that remains challenging. </w:t>
      </w:r>
    </w:p>
    <w:p w14:paraId="1571507D" w14:textId="77777777" w:rsidR="00F2272A" w:rsidRPr="003532A3" w:rsidRDefault="00F2272A" w:rsidP="00D15550">
      <w:pPr>
        <w:rPr>
          <w:lang w:eastAsia="de-DE"/>
        </w:rPr>
      </w:pPr>
      <w:r w:rsidRPr="003532A3">
        <w:rPr>
          <w:lang w:eastAsia="de-DE"/>
        </w:rPr>
        <w:t>The developments of the first six months also confirm the strategic direction. The growth areas established in recent years continue to gain momentum and are beginning to contribute more meaningfully to revenue. Some are still at an early stage, but they offer significant potential for the coming years.</w:t>
      </w:r>
    </w:p>
    <w:p w14:paraId="37298D7F" w14:textId="77777777" w:rsidR="00F2272A" w:rsidRPr="003532A3" w:rsidRDefault="00F2272A" w:rsidP="00D15550">
      <w:pPr>
        <w:rPr>
          <w:lang w:eastAsia="de-DE"/>
        </w:rPr>
      </w:pPr>
      <w:r w:rsidRPr="003532A3">
        <w:rPr>
          <w:lang w:eastAsia="de-DE"/>
        </w:rPr>
        <w:t>Assuming stable economic conditions, Sensirion now expects sales of CHF 345</w:t>
      </w:r>
      <w:r>
        <w:rPr>
          <w:lang w:eastAsia="de-DE"/>
        </w:rPr>
        <w:t xml:space="preserve"> million to CHF </w:t>
      </w:r>
      <w:r w:rsidRPr="003532A3">
        <w:rPr>
          <w:lang w:eastAsia="de-DE"/>
        </w:rPr>
        <w:t xml:space="preserve">365 million for 2026 </w:t>
      </w:r>
      <w:proofErr w:type="gramStart"/>
      <w:r w:rsidRPr="003532A3">
        <w:rPr>
          <w:lang w:eastAsia="de-DE"/>
        </w:rPr>
        <w:t>as a whole at</w:t>
      </w:r>
      <w:proofErr w:type="gramEnd"/>
      <w:r w:rsidRPr="003532A3">
        <w:rPr>
          <w:lang w:eastAsia="de-DE"/>
        </w:rPr>
        <w:t xml:space="preserve"> current exchange rates. Adjusted for currency effects, this corresponds to year-on-year revenue growth of 8</w:t>
      </w:r>
      <w:r>
        <w:rPr>
          <w:lang w:eastAsia="de-DE"/>
        </w:rPr>
        <w:t xml:space="preserve">% to </w:t>
      </w:r>
      <w:r w:rsidRPr="003532A3">
        <w:rPr>
          <w:lang w:eastAsia="de-DE"/>
        </w:rPr>
        <w:t xml:space="preserve">14%. In terms of profitability, the company expects </w:t>
      </w:r>
      <w:r>
        <w:rPr>
          <w:lang w:eastAsia="de-DE"/>
        </w:rPr>
        <w:t xml:space="preserve">the </w:t>
      </w:r>
      <w:r w:rsidRPr="003532A3">
        <w:rPr>
          <w:lang w:eastAsia="de-DE"/>
        </w:rPr>
        <w:t xml:space="preserve">EBITDA margin to land in the upper half of the </w:t>
      </w:r>
      <w:r>
        <w:rPr>
          <w:lang w:eastAsia="de-DE"/>
        </w:rPr>
        <w:t>guided</w:t>
      </w:r>
      <w:r w:rsidRPr="003532A3">
        <w:rPr>
          <w:lang w:eastAsia="de-DE"/>
        </w:rPr>
        <w:t xml:space="preserve"> mid-to</w:t>
      </w:r>
      <w:r>
        <w:rPr>
          <w:lang w:eastAsia="de-DE"/>
        </w:rPr>
        <w:t>-</w:t>
      </w:r>
      <w:r w:rsidRPr="003532A3">
        <w:rPr>
          <w:lang w:eastAsia="de-DE"/>
        </w:rPr>
        <w:t>high</w:t>
      </w:r>
      <w:r>
        <w:rPr>
          <w:lang w:eastAsia="de-DE"/>
        </w:rPr>
        <w:t xml:space="preserve"> </w:t>
      </w:r>
      <w:r w:rsidRPr="003532A3">
        <w:rPr>
          <w:lang w:eastAsia="de-DE"/>
        </w:rPr>
        <w:t>teens.</w:t>
      </w:r>
    </w:p>
    <w:p w14:paraId="732F927E" w14:textId="77777777" w:rsidR="00286366" w:rsidRDefault="00286366" w:rsidP="00D15550">
      <w:pPr>
        <w:rPr>
          <w:lang w:eastAsia="de-DE"/>
        </w:rPr>
      </w:pPr>
    </w:p>
    <w:p w14:paraId="2F33BD6D" w14:textId="77777777" w:rsidR="00286366" w:rsidRDefault="00286366" w:rsidP="00D15550">
      <w:pPr>
        <w:rPr>
          <w:lang w:eastAsia="de-DE"/>
        </w:rPr>
      </w:pPr>
    </w:p>
    <w:p w14:paraId="47ABD208" w14:textId="13E17A22" w:rsidR="00D15550" w:rsidRDefault="00D15550" w:rsidP="00D15550">
      <w:pPr>
        <w:pStyle w:val="SensirionSubtitle"/>
      </w:pPr>
      <w:r>
        <w:t>Conference call on the half-year 202</w:t>
      </w:r>
      <w:r>
        <w:t>6</w:t>
      </w:r>
      <w:r>
        <w:t xml:space="preserve"> results</w:t>
      </w:r>
    </w:p>
    <w:p w14:paraId="25A55519" w14:textId="2157DBA8" w:rsidR="00D15550" w:rsidRDefault="00D15550" w:rsidP="00316426">
      <w:pPr>
        <w:rPr>
          <w:lang w:eastAsia="de-DE"/>
        </w:rPr>
      </w:pPr>
      <w:r>
        <w:rPr>
          <w:lang w:eastAsia="de-DE"/>
        </w:rPr>
        <w:t xml:space="preserve">Today, Wednesday, August </w:t>
      </w:r>
      <w:r>
        <w:rPr>
          <w:lang w:eastAsia="de-DE"/>
        </w:rPr>
        <w:t>19</w:t>
      </w:r>
      <w:r>
        <w:rPr>
          <w:lang w:eastAsia="de-DE"/>
        </w:rPr>
        <w:t>, 202</w:t>
      </w:r>
      <w:r>
        <w:rPr>
          <w:lang w:eastAsia="de-DE"/>
        </w:rPr>
        <w:t>6</w:t>
      </w:r>
      <w:r>
        <w:rPr>
          <w:lang w:eastAsia="de-DE"/>
        </w:rPr>
        <w:t>, at 10:00 am CEST, a conference call on the half-year 202</w:t>
      </w:r>
      <w:r>
        <w:rPr>
          <w:lang w:eastAsia="de-DE"/>
        </w:rPr>
        <w:t>6</w:t>
      </w:r>
      <w:r>
        <w:rPr>
          <w:lang w:eastAsia="de-DE"/>
        </w:rPr>
        <w:t xml:space="preserve"> results will be held. The presentation will be held in English. Participants will have the opportunity to ask questions during the telephone conference following the presentation.</w:t>
      </w:r>
    </w:p>
    <w:p w14:paraId="690B40DE" w14:textId="1D76A273" w:rsidR="00D15550" w:rsidRDefault="00D15550" w:rsidP="00316426">
      <w:pPr>
        <w:rPr>
          <w:lang w:eastAsia="de-DE"/>
        </w:rPr>
      </w:pPr>
    </w:p>
    <w:p w14:paraId="6FC477A9" w14:textId="77777777" w:rsidR="00D15550" w:rsidRDefault="00D15550" w:rsidP="00316426">
      <w:pPr>
        <w:rPr>
          <w:lang w:eastAsia="de-DE"/>
        </w:rPr>
      </w:pPr>
      <w:r>
        <w:rPr>
          <w:lang w:eastAsia="de-DE"/>
        </w:rPr>
        <w:t>Please register for the conference call using the following link:</w:t>
      </w:r>
    </w:p>
    <w:p w14:paraId="5F2F87A0" w14:textId="5B3CFCBE" w:rsidR="00D15550" w:rsidRDefault="00316426" w:rsidP="00316426">
      <w:pPr>
        <w:rPr>
          <w:lang w:eastAsia="de-DE"/>
        </w:rPr>
      </w:pPr>
      <w:hyperlink r:id="rId11" w:history="1">
        <w:r w:rsidRPr="003135D3">
          <w:rPr>
            <w:rStyle w:val="Hyperlink"/>
            <w:lang w:eastAsia="de-DE"/>
          </w:rPr>
          <w:t>https://attendee.gotowebinar.com/register/8863811299983836501?source=pr</w:t>
        </w:r>
      </w:hyperlink>
      <w:r>
        <w:rPr>
          <w:lang w:eastAsia="de-DE"/>
        </w:rPr>
        <w:t xml:space="preserve"> </w:t>
      </w:r>
    </w:p>
    <w:p w14:paraId="000ABFEB" w14:textId="77777777" w:rsidR="00D15550" w:rsidRDefault="00D15550" w:rsidP="00316426">
      <w:pPr>
        <w:rPr>
          <w:lang w:eastAsia="de-DE"/>
        </w:rPr>
      </w:pPr>
    </w:p>
    <w:p w14:paraId="0E51ABB4" w14:textId="2C931FAC" w:rsidR="00D15550" w:rsidRDefault="00D15550" w:rsidP="00316426">
      <w:pPr>
        <w:rPr>
          <w:lang w:eastAsia="de-DE"/>
        </w:rPr>
      </w:pPr>
      <w:r>
        <w:rPr>
          <w:lang w:eastAsia="de-DE"/>
        </w:rPr>
        <w:t xml:space="preserve"> </w:t>
      </w:r>
    </w:p>
    <w:p w14:paraId="791F2518" w14:textId="5A2124E0" w:rsidR="00D15550" w:rsidRDefault="00D15550" w:rsidP="00316426">
      <w:pPr>
        <w:pStyle w:val="SensirionSubtitle"/>
      </w:pPr>
      <w:r>
        <w:t>Documentation</w:t>
      </w:r>
    </w:p>
    <w:p w14:paraId="3ADF0D85" w14:textId="2C9D1484" w:rsidR="00D15550" w:rsidRDefault="00D15550" w:rsidP="00F73233">
      <w:pPr>
        <w:rPr>
          <w:lang w:eastAsia="de-DE"/>
        </w:rPr>
      </w:pPr>
      <w:r>
        <w:rPr>
          <w:lang w:eastAsia="de-DE"/>
        </w:rPr>
        <w:t xml:space="preserve">All documents will be available at </w:t>
      </w:r>
      <w:hyperlink r:id="rId12" w:history="1">
        <w:r w:rsidR="00F73233" w:rsidRPr="00F73233">
          <w:rPr>
            <w:rStyle w:val="Hyperlink"/>
            <w:lang w:eastAsia="de-DE"/>
          </w:rPr>
          <w:t>https://reports.sensirion.com/2026/hyr/</w:t>
        </w:r>
      </w:hyperlink>
      <w:r w:rsidR="00F73233" w:rsidRPr="00F73233">
        <w:t xml:space="preserve"> </w:t>
      </w:r>
      <w:r>
        <w:rPr>
          <w:lang w:eastAsia="de-DE"/>
        </w:rPr>
        <w:t xml:space="preserve">on August </w:t>
      </w:r>
      <w:r w:rsidR="00DD5CA7">
        <w:rPr>
          <w:lang w:eastAsia="de-DE"/>
        </w:rPr>
        <w:t>1</w:t>
      </w:r>
      <w:r w:rsidR="00316426">
        <w:rPr>
          <w:lang w:eastAsia="de-DE"/>
        </w:rPr>
        <w:t>9</w:t>
      </w:r>
      <w:r>
        <w:rPr>
          <w:lang w:eastAsia="de-DE"/>
        </w:rPr>
        <w:t>, 202</w:t>
      </w:r>
      <w:r w:rsidR="00107038">
        <w:rPr>
          <w:lang w:eastAsia="de-DE"/>
        </w:rPr>
        <w:t>6</w:t>
      </w:r>
      <w:r>
        <w:rPr>
          <w:lang w:eastAsia="de-DE"/>
        </w:rPr>
        <w:t>, from around 06:30 CEST.</w:t>
      </w:r>
    </w:p>
    <w:p w14:paraId="066240D6" w14:textId="4AF38EA3" w:rsidR="00D15550" w:rsidRDefault="00D15550" w:rsidP="00F73233">
      <w:pPr>
        <w:rPr>
          <w:lang w:eastAsia="de-DE"/>
        </w:rPr>
      </w:pPr>
    </w:p>
    <w:p w14:paraId="283CACF3" w14:textId="77777777" w:rsidR="00F73233" w:rsidRDefault="00F73233" w:rsidP="00F73233">
      <w:pPr>
        <w:rPr>
          <w:lang w:eastAsia="de-DE"/>
        </w:rPr>
      </w:pPr>
    </w:p>
    <w:p w14:paraId="6D56D75D" w14:textId="17DEF581" w:rsidR="00D15550" w:rsidRDefault="00D15550" w:rsidP="00F73233">
      <w:pPr>
        <w:pStyle w:val="SensirionSubtitle"/>
      </w:pPr>
      <w:r>
        <w:t>Financial calendar</w:t>
      </w:r>
    </w:p>
    <w:p w14:paraId="5251154E" w14:textId="30795F29" w:rsidR="00D15550" w:rsidRDefault="00D15550" w:rsidP="00222ACF">
      <w:pPr>
        <w:rPr>
          <w:lang w:eastAsia="de-DE"/>
        </w:rPr>
      </w:pPr>
      <w:r>
        <w:rPr>
          <w:lang w:eastAsia="de-DE"/>
        </w:rPr>
        <w:t>March 1</w:t>
      </w:r>
      <w:r w:rsidR="00F73233">
        <w:rPr>
          <w:lang w:eastAsia="de-DE"/>
        </w:rPr>
        <w:t>6</w:t>
      </w:r>
      <w:r>
        <w:rPr>
          <w:lang w:eastAsia="de-DE"/>
        </w:rPr>
        <w:t>, 202</w:t>
      </w:r>
      <w:r w:rsidR="00F73233">
        <w:rPr>
          <w:lang w:eastAsia="de-DE"/>
        </w:rPr>
        <w:t>7</w:t>
      </w:r>
      <w:r w:rsidR="00C043C3">
        <w:rPr>
          <w:lang w:eastAsia="de-DE"/>
        </w:rPr>
        <w:t>:</w:t>
      </w:r>
      <w:r>
        <w:rPr>
          <w:lang w:eastAsia="de-DE"/>
        </w:rPr>
        <w:t xml:space="preserve"> Full-year results and annual report 202</w:t>
      </w:r>
      <w:r w:rsidR="00F73233">
        <w:rPr>
          <w:lang w:eastAsia="de-DE"/>
        </w:rPr>
        <w:t>6</w:t>
      </w:r>
    </w:p>
    <w:p w14:paraId="394D477C" w14:textId="3B447EF6" w:rsidR="00035A9B" w:rsidRDefault="00D15550" w:rsidP="00222ACF">
      <w:pPr>
        <w:rPr>
          <w:lang w:eastAsia="de-DE"/>
        </w:rPr>
      </w:pPr>
      <w:r>
        <w:rPr>
          <w:lang w:eastAsia="de-DE"/>
        </w:rPr>
        <w:t xml:space="preserve">May </w:t>
      </w:r>
      <w:r w:rsidR="00F73233">
        <w:rPr>
          <w:lang w:eastAsia="de-DE"/>
        </w:rPr>
        <w:t>24</w:t>
      </w:r>
      <w:r>
        <w:rPr>
          <w:lang w:eastAsia="de-DE"/>
        </w:rPr>
        <w:t>, 202</w:t>
      </w:r>
      <w:r w:rsidR="00222ACF">
        <w:rPr>
          <w:lang w:eastAsia="de-DE"/>
        </w:rPr>
        <w:t>7</w:t>
      </w:r>
      <w:r w:rsidR="00C043C3">
        <w:rPr>
          <w:lang w:eastAsia="de-DE"/>
        </w:rPr>
        <w:t>:</w:t>
      </w:r>
      <w:r>
        <w:rPr>
          <w:lang w:eastAsia="de-DE"/>
        </w:rPr>
        <w:t xml:space="preserve">    Annual General Meeting 202</w:t>
      </w:r>
      <w:r w:rsidR="00F73233">
        <w:rPr>
          <w:lang w:eastAsia="de-DE"/>
        </w:rPr>
        <w:t>7</w:t>
      </w:r>
    </w:p>
    <w:p w14:paraId="13348C1F" w14:textId="77777777" w:rsidR="00F73233" w:rsidRDefault="00F73233" w:rsidP="00222ACF">
      <w:pPr>
        <w:rPr>
          <w:lang w:eastAsia="de-DE"/>
        </w:rPr>
      </w:pPr>
    </w:p>
    <w:p w14:paraId="67142B8E" w14:textId="77777777" w:rsidR="00222ACF" w:rsidRDefault="00222ACF" w:rsidP="00222ACF">
      <w:pPr>
        <w:rPr>
          <w:lang w:eastAsia="de-DE"/>
        </w:rPr>
      </w:pPr>
    </w:p>
    <w:p w14:paraId="5AE9DCE1" w14:textId="653E035B" w:rsidR="00F73233" w:rsidRDefault="00F73233" w:rsidP="00222ACF">
      <w:pPr>
        <w:pStyle w:val="SensirionSubtitle"/>
      </w:pPr>
      <w:r>
        <w:t>Contact</w:t>
      </w:r>
    </w:p>
    <w:p w14:paraId="35B19F27" w14:textId="77777777" w:rsidR="00222ACF" w:rsidRPr="00577442" w:rsidRDefault="00222ACF" w:rsidP="00222ACF">
      <w:pPr>
        <w:pBdr>
          <w:bottom w:val="single" w:sz="6" w:space="1" w:color="auto"/>
        </w:pBdr>
        <w:rPr>
          <w:lang w:val="de-CH" w:eastAsia="de-DE"/>
        </w:rPr>
      </w:pPr>
      <w:r w:rsidRPr="00577442">
        <w:rPr>
          <w:lang w:val="de-CH" w:eastAsia="de-DE"/>
        </w:rPr>
        <w:t>Lars Dünnhaupt</w:t>
      </w:r>
    </w:p>
    <w:p w14:paraId="7A335A8E" w14:textId="77777777" w:rsidR="00222ACF" w:rsidRPr="00577442" w:rsidRDefault="00222ACF" w:rsidP="00222ACF">
      <w:pPr>
        <w:pBdr>
          <w:bottom w:val="single" w:sz="6" w:space="1" w:color="auto"/>
        </w:pBdr>
        <w:rPr>
          <w:lang w:val="de-CH" w:eastAsia="de-DE"/>
        </w:rPr>
      </w:pPr>
      <w:proofErr w:type="spellStart"/>
      <w:r w:rsidRPr="00577442">
        <w:rPr>
          <w:lang w:val="de-CH" w:eastAsia="de-DE"/>
        </w:rPr>
        <w:t>Director</w:t>
      </w:r>
      <w:proofErr w:type="spellEnd"/>
      <w:r w:rsidRPr="00577442">
        <w:rPr>
          <w:lang w:val="de-CH" w:eastAsia="de-DE"/>
        </w:rPr>
        <w:t xml:space="preserve"> Investor Relations</w:t>
      </w:r>
    </w:p>
    <w:p w14:paraId="1F25ED0E" w14:textId="77777777" w:rsidR="00222ACF" w:rsidRPr="00577442" w:rsidRDefault="00222ACF" w:rsidP="00222ACF">
      <w:pPr>
        <w:pBdr>
          <w:bottom w:val="single" w:sz="6" w:space="1" w:color="auto"/>
        </w:pBdr>
        <w:rPr>
          <w:lang w:val="de-CH" w:eastAsia="de-DE"/>
        </w:rPr>
      </w:pPr>
      <w:r w:rsidRPr="00577442">
        <w:rPr>
          <w:lang w:val="de-CH" w:eastAsia="de-DE"/>
        </w:rPr>
        <w:t>Telefon: +41 44 306 40 00</w:t>
      </w:r>
    </w:p>
    <w:p w14:paraId="0D03E21E" w14:textId="77777777" w:rsidR="00222ACF" w:rsidRDefault="00222ACF" w:rsidP="00222ACF">
      <w:pPr>
        <w:pBdr>
          <w:bottom w:val="single" w:sz="6" w:space="1" w:color="auto"/>
        </w:pBdr>
        <w:rPr>
          <w:lang w:val="de-CH" w:eastAsia="de-DE"/>
        </w:rPr>
      </w:pPr>
      <w:r w:rsidRPr="00577442">
        <w:rPr>
          <w:lang w:val="de-CH" w:eastAsia="de-DE"/>
        </w:rPr>
        <w:t>E-Mail: lars.duennhaupt@sensirion.com</w:t>
      </w:r>
    </w:p>
    <w:p w14:paraId="68D5256B" w14:textId="77777777" w:rsidR="00F73233" w:rsidRPr="00C36958" w:rsidRDefault="00F73233" w:rsidP="00D15550">
      <w:pPr>
        <w:pBdr>
          <w:bottom w:val="single" w:sz="6" w:space="1" w:color="auto"/>
        </w:pBdr>
        <w:rPr>
          <w:lang w:eastAsia="de-DE"/>
        </w:rPr>
      </w:pPr>
    </w:p>
    <w:p w14:paraId="07D8F794" w14:textId="77777777" w:rsidR="00ED1987" w:rsidRPr="00C36958" w:rsidRDefault="00ED1987" w:rsidP="005B1B49">
      <w:pPr>
        <w:pBdr>
          <w:bottom w:val="single" w:sz="6" w:space="1" w:color="auto"/>
        </w:pBdr>
        <w:rPr>
          <w:lang w:eastAsia="de-DE"/>
        </w:rPr>
      </w:pPr>
    </w:p>
    <w:p w14:paraId="299E90C7" w14:textId="77777777" w:rsidR="005B1B49" w:rsidRPr="00C36958" w:rsidRDefault="005B1B49" w:rsidP="005B1B49">
      <w:pPr>
        <w:rPr>
          <w:lang w:eastAsia="de-DE"/>
        </w:rPr>
      </w:pPr>
    </w:p>
    <w:p w14:paraId="4324FBFB" w14:textId="77777777" w:rsidR="00C36958" w:rsidRPr="00C36958" w:rsidRDefault="00C36958" w:rsidP="00C36958">
      <w:pPr>
        <w:rPr>
          <w:rFonts w:asciiTheme="majorHAnsi" w:hAnsiTheme="majorHAnsi"/>
          <w:lang w:eastAsia="de-DE"/>
        </w:rPr>
      </w:pPr>
      <w:r w:rsidRPr="00C36958">
        <w:rPr>
          <w:rFonts w:asciiTheme="majorHAnsi" w:hAnsiTheme="majorHAnsi"/>
          <w:lang w:eastAsia="de-DE"/>
        </w:rPr>
        <w:t>About Sensirion Holding AG</w:t>
      </w:r>
    </w:p>
    <w:p w14:paraId="7CE3B647" w14:textId="77777777" w:rsidR="00C36958" w:rsidRPr="00C36958" w:rsidRDefault="00C36958" w:rsidP="00C36958">
      <w:pPr>
        <w:rPr>
          <w:lang w:eastAsia="de-DE"/>
        </w:rPr>
      </w:pPr>
      <w:r w:rsidRPr="00C36958">
        <w:rPr>
          <w:lang w:eastAsia="de-DE"/>
        </w:rPr>
        <w:t xml:space="preserve">Sensirion Holding AG (SIX Swiss Exchange: SENS), headquartered in </w:t>
      </w:r>
      <w:proofErr w:type="spellStart"/>
      <w:r w:rsidRPr="00C36958">
        <w:rPr>
          <w:lang w:eastAsia="de-DE"/>
        </w:rPr>
        <w:t>Stäfa</w:t>
      </w:r>
      <w:proofErr w:type="spellEnd"/>
      <w:r w:rsidRPr="00C36958">
        <w:rPr>
          <w:lang w:eastAsia="de-DE"/>
        </w:rPr>
        <w:t xml:space="preserve">, Switzerland, is a leading manufacturer of digital microsensors and systems. The product range includes environmental sensors for the measurement of humidity and temperature, volatile organic compounds (VOC), carbon dioxide (CO2) and particulate matter (PM2.5), gas and liquid flow sensors, differential pressure sensors as well as gas leakage sensors. </w:t>
      </w:r>
    </w:p>
    <w:p w14:paraId="46D4C9CA" w14:textId="77777777" w:rsidR="00C36958" w:rsidRPr="00C36958" w:rsidRDefault="00C36958" w:rsidP="00C36958">
      <w:pPr>
        <w:rPr>
          <w:lang w:eastAsia="de-DE"/>
        </w:rPr>
      </w:pPr>
      <w:r w:rsidRPr="00C36958">
        <w:rPr>
          <w:lang w:eastAsia="de-DE"/>
        </w:rPr>
        <w:lastRenderedPageBreak/>
        <w:t xml:space="preserve">An international network with sales offices in China, Europe, Japan, South Korea, Taiwan and the USA supplies international customers with standard and custom sensor system solutions for a vast range of applications. Sensirion sensors can commonly be found in the automotive, medical, industrial and consumer end markets. For further information, visit </w:t>
      </w:r>
      <w:hyperlink r:id="rId13" w:history="1">
        <w:r w:rsidRPr="006B2015">
          <w:rPr>
            <w:rStyle w:val="Hyperlink"/>
            <w:lang w:eastAsia="de-DE"/>
          </w:rPr>
          <w:t>www.sensirion.com</w:t>
        </w:r>
      </w:hyperlink>
      <w:r w:rsidRPr="00C36958">
        <w:rPr>
          <w:lang w:eastAsia="de-DE"/>
        </w:rPr>
        <w:t>.</w:t>
      </w:r>
      <w:r>
        <w:rPr>
          <w:lang w:eastAsia="de-DE"/>
        </w:rPr>
        <w:t xml:space="preserve"> </w:t>
      </w:r>
    </w:p>
    <w:p w14:paraId="6C4E17EE" w14:textId="77777777" w:rsidR="00C36958" w:rsidRPr="00C36958" w:rsidRDefault="00C36958" w:rsidP="00C36958">
      <w:pPr>
        <w:rPr>
          <w:rFonts w:asciiTheme="majorHAnsi" w:hAnsiTheme="majorHAnsi"/>
          <w:lang w:eastAsia="de-DE"/>
        </w:rPr>
      </w:pPr>
    </w:p>
    <w:p w14:paraId="0AF90598" w14:textId="77777777" w:rsidR="00C36958" w:rsidRPr="00C36958" w:rsidRDefault="00C36958" w:rsidP="00C36958">
      <w:pPr>
        <w:pStyle w:val="SensirionSubtitle"/>
      </w:pPr>
      <w:r w:rsidRPr="00C36958">
        <w:t>Disclaimer</w:t>
      </w:r>
    </w:p>
    <w:p w14:paraId="0E583CB6" w14:textId="77777777" w:rsidR="00C36958" w:rsidRPr="00C36958" w:rsidRDefault="00C36958" w:rsidP="00C36958">
      <w:pPr>
        <w:rPr>
          <w:rFonts w:cstheme="minorHAnsi"/>
          <w:sz w:val="18"/>
          <w:szCs w:val="18"/>
          <w:lang w:eastAsia="de-DE"/>
        </w:rPr>
      </w:pPr>
      <w:r w:rsidRPr="00C36958">
        <w:rPr>
          <w:rFonts w:cstheme="minorHAnsi"/>
          <w:sz w:val="18"/>
          <w:szCs w:val="18"/>
          <w:lang w:eastAsia="de-DE"/>
        </w:rPr>
        <w:t>Certain statements in this document are forward-looking statements, including, but not limited to, those using words such as “believe”, “assume”, “expect” and other similar expressions. Such forward-looking statements are based on assumptions and expectations and, by their nature, involve known and unknown risks, uncertainties and other factors that could cause actual results, performance or achievements to differ materially from those expressed or implied by the forward-looking statements. Such factors include, but are not limited to, future global economic conditions, changing market conditions, competition from other companies, the effects and risks of new technologies, the costs of complying with applicable laws, regulations and standards, diverse political, legal, economic and other conditions affecting the markets in which Sensirion operates and other factors beyond the control of Sensirion. In view of these uncertainties, you should not place undue reliance on forward-looking statements. Sensirion disclaims any intention or obligation to update any forward-looking statements or to adapt them to future events or developments.</w:t>
      </w:r>
    </w:p>
    <w:p w14:paraId="6A1DD733" w14:textId="77777777" w:rsidR="00C36958" w:rsidRPr="00C36958" w:rsidRDefault="00C36958" w:rsidP="00C36958">
      <w:pPr>
        <w:rPr>
          <w:rFonts w:cstheme="minorHAnsi"/>
          <w:sz w:val="18"/>
          <w:szCs w:val="18"/>
          <w:lang w:eastAsia="de-DE"/>
        </w:rPr>
      </w:pPr>
    </w:p>
    <w:p w14:paraId="15D5AB80" w14:textId="77777777" w:rsidR="00C36958" w:rsidRPr="00C36958" w:rsidRDefault="00C36958" w:rsidP="00C36958">
      <w:pPr>
        <w:rPr>
          <w:rFonts w:cstheme="minorHAnsi"/>
          <w:sz w:val="18"/>
          <w:szCs w:val="18"/>
          <w:lang w:eastAsia="de-DE"/>
        </w:rPr>
      </w:pPr>
      <w:r w:rsidRPr="00C36958">
        <w:rPr>
          <w:rFonts w:cstheme="minorHAnsi"/>
          <w:sz w:val="18"/>
          <w:szCs w:val="18"/>
          <w:lang w:eastAsia="de-DE"/>
        </w:rPr>
        <w:t xml:space="preserve">Sensirion uses certain key figures to measure its performance that are not defined by Swiss GAAP FER. These alternative performance measures may not be comparable to similarly titled measures presented by other companies. Additional information on these key figures can be found at </w:t>
      </w:r>
      <w:hyperlink r:id="rId14" w:history="1">
        <w:r w:rsidRPr="006B2015">
          <w:rPr>
            <w:rStyle w:val="Hyperlink"/>
            <w:rFonts w:cstheme="minorHAnsi"/>
            <w:sz w:val="18"/>
            <w:szCs w:val="18"/>
            <w:lang w:eastAsia="de-DE"/>
          </w:rPr>
          <w:t>www.sensirion.com/additional-performance-measures</w:t>
        </w:r>
      </w:hyperlink>
      <w:r w:rsidRPr="00C36958">
        <w:rPr>
          <w:rFonts w:cstheme="minorHAnsi"/>
          <w:sz w:val="18"/>
          <w:szCs w:val="18"/>
          <w:lang w:eastAsia="de-DE"/>
        </w:rPr>
        <w:t>.</w:t>
      </w:r>
      <w:r>
        <w:rPr>
          <w:rFonts w:cstheme="minorHAnsi"/>
          <w:sz w:val="18"/>
          <w:szCs w:val="18"/>
          <w:lang w:eastAsia="de-DE"/>
        </w:rPr>
        <w:t xml:space="preserve"> </w:t>
      </w:r>
    </w:p>
    <w:p w14:paraId="41211D86" w14:textId="77777777" w:rsidR="00C36958" w:rsidRPr="00C36958" w:rsidRDefault="00C36958" w:rsidP="00C36958">
      <w:pPr>
        <w:rPr>
          <w:rFonts w:cstheme="minorHAnsi"/>
          <w:sz w:val="18"/>
          <w:szCs w:val="18"/>
          <w:lang w:eastAsia="de-DE"/>
        </w:rPr>
      </w:pPr>
    </w:p>
    <w:p w14:paraId="11C87B82" w14:textId="598656B0" w:rsidR="00986756" w:rsidRPr="000E715F" w:rsidRDefault="00C36958" w:rsidP="00986756">
      <w:pPr>
        <w:rPr>
          <w:rFonts w:cstheme="minorHAnsi"/>
          <w:sz w:val="18"/>
          <w:szCs w:val="18"/>
          <w:lang w:eastAsia="de-DE"/>
        </w:rPr>
      </w:pPr>
      <w:r w:rsidRPr="00C36958">
        <w:rPr>
          <w:rFonts w:cstheme="minorHAnsi"/>
          <w:sz w:val="18"/>
          <w:szCs w:val="18"/>
          <w:lang w:eastAsia="de-DE"/>
        </w:rPr>
        <w:t>This document is not an offer to sell, or a solicitation of offers to purchase, any securities.</w:t>
      </w:r>
    </w:p>
    <w:sectPr w:rsidR="00986756" w:rsidRPr="000E715F" w:rsidSect="00C5040D">
      <w:headerReference w:type="default" r:id="rId15"/>
      <w:footerReference w:type="default" r:id="rId16"/>
      <w:headerReference w:type="first" r:id="rId17"/>
      <w:footerReference w:type="first" r:id="rId18"/>
      <w:type w:val="continuous"/>
      <w:pgSz w:w="11906" w:h="16838" w:code="9"/>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570E6" w14:textId="77777777" w:rsidR="004E6CEC" w:rsidRDefault="004E6CEC" w:rsidP="0054380F">
      <w:pPr>
        <w:spacing w:line="240" w:lineRule="auto"/>
      </w:pPr>
      <w:r>
        <w:separator/>
      </w:r>
    </w:p>
  </w:endnote>
  <w:endnote w:type="continuationSeparator" w:id="0">
    <w:p w14:paraId="6E3FA641" w14:textId="77777777" w:rsidR="004E6CEC" w:rsidRDefault="004E6CEC" w:rsidP="0054380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Klavika Basic Regular">
    <w:altName w:val="Arial"/>
    <w:panose1 w:val="00000000000000000000"/>
    <w:charset w:val="00"/>
    <w:family w:val="swiss"/>
    <w:notTrueType/>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Semibold">
    <w:panose1 w:val="020B07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Fett">
    <w:panose1 w:val="00000000000000000000"/>
    <w:charset w:val="00"/>
    <w:family w:val="roman"/>
    <w:notTrueType/>
    <w:pitch w:val="default"/>
    <w:sig w:usb0="00000003" w:usb1="00000000" w:usb2="00000000" w:usb3="00000000" w:csb0="00000001" w:csb1="00000000"/>
  </w:font>
  <w:font w:name="ATP Univers">
    <w:charset w:val="00"/>
    <w:family w:val="swiss"/>
    <w:pitch w:val="variable"/>
    <w:sig w:usb0="800000AF" w:usb1="5000204A" w:usb2="00000000" w:usb3="00000000" w:csb0="0000009B" w:csb1="00000000"/>
  </w:font>
  <w:font w:name="SimHei">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E5A0F" w14:textId="77777777" w:rsidR="00D44150" w:rsidRPr="00372AC0" w:rsidRDefault="00D91EAB" w:rsidP="000B2869">
    <w:pPr>
      <w:pStyle w:val="Footer"/>
    </w:pPr>
    <w:r w:rsidRPr="00372AC0">
      <w:rPr>
        <w:noProof/>
      </w:rPr>
      <w:t>© Copyright Sensirion AG</w:t>
    </w:r>
    <w:r w:rsidRPr="00372AC0">
      <w:tab/>
    </w:r>
    <w:r w:rsidR="00B730FE" w:rsidRPr="00372AC0">
      <w:fldChar w:fldCharType="begin"/>
    </w:r>
    <w:r w:rsidRPr="00372AC0">
      <w:instrText xml:space="preserve"> PAGE </w:instrText>
    </w:r>
    <w:r w:rsidR="00B730FE" w:rsidRPr="00372AC0">
      <w:fldChar w:fldCharType="separate"/>
    </w:r>
    <w:r w:rsidR="00A5624A" w:rsidRPr="00372AC0">
      <w:t>1</w:t>
    </w:r>
    <w:r w:rsidR="00B730FE" w:rsidRPr="00372AC0">
      <w:fldChar w:fldCharType="end"/>
    </w:r>
    <w:r w:rsidRPr="00372AC0">
      <w:t>/</w:t>
    </w:r>
    <w:r w:rsidR="00B730FE" w:rsidRPr="00372AC0">
      <w:fldChar w:fldCharType="begin"/>
    </w:r>
    <w:r w:rsidRPr="00372AC0">
      <w:instrText xml:space="preserve"> NUMPAGES </w:instrText>
    </w:r>
    <w:r w:rsidR="00B730FE" w:rsidRPr="00372AC0">
      <w:fldChar w:fldCharType="separate"/>
    </w:r>
    <w:r w:rsidR="00A5624A" w:rsidRPr="00372AC0">
      <w:t>1</w:t>
    </w:r>
    <w:r w:rsidR="00B730FE" w:rsidRPr="00372AC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3DDBE" w14:textId="77777777" w:rsidR="00D44150" w:rsidRDefault="00D44150">
    <w:pPr>
      <w:pStyle w:val="Footer"/>
    </w:pPr>
    <w:r w:rsidRPr="00E94DCD">
      <w:tab/>
    </w:r>
    <w:r w:rsidRPr="00E94DCD">
      <w:tab/>
    </w:r>
    <w:proofErr w:type="spellStart"/>
    <w:r w:rsidRPr="00E94DCD">
      <w:t>Seite</w:t>
    </w:r>
    <w:proofErr w:type="spellEnd"/>
    <w:r w:rsidRPr="00E94DCD">
      <w:t xml:space="preserve"> </w:t>
    </w:r>
    <w:r w:rsidR="00B730FE">
      <w:fldChar w:fldCharType="begin"/>
    </w:r>
    <w:r w:rsidR="00935B8D">
      <w:instrText xml:space="preserve"> PAGE   \* MERGEFORMAT </w:instrText>
    </w:r>
    <w:r w:rsidR="00B730FE">
      <w:fldChar w:fldCharType="separate"/>
    </w:r>
    <w:r>
      <w:rPr>
        <w:noProof/>
      </w:rPr>
      <w:t>1</w:t>
    </w:r>
    <w:r w:rsidR="00B730FE">
      <w:rPr>
        <w:noProof/>
      </w:rPr>
      <w:fldChar w:fldCharType="end"/>
    </w:r>
    <w:r w:rsidRPr="00E94DCD">
      <w:t xml:space="preserve"> / </w:t>
    </w:r>
    <w:fldSimple w:instr=" NUMPAGES   \* MERGEFORMAT ">
      <w:r w:rsidR="001156D3">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C74A4E" w14:textId="77777777" w:rsidR="004E6CEC" w:rsidRDefault="004E6CEC" w:rsidP="0054380F">
      <w:pPr>
        <w:spacing w:line="240" w:lineRule="auto"/>
      </w:pPr>
      <w:r>
        <w:separator/>
      </w:r>
    </w:p>
  </w:footnote>
  <w:footnote w:type="continuationSeparator" w:id="0">
    <w:p w14:paraId="57B6F385" w14:textId="77777777" w:rsidR="004E6CEC" w:rsidRDefault="004E6CEC" w:rsidP="0054380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92376" w14:textId="77777777" w:rsidR="00D44150" w:rsidRDefault="00661641">
    <w:pPr>
      <w:pStyle w:val="Header"/>
    </w:pPr>
    <w:r>
      <w:rPr>
        <w:noProof/>
      </w:rPr>
      <w:drawing>
        <wp:anchor distT="0" distB="0" distL="0" distR="0" simplePos="0" relativeHeight="251658240" behindDoc="1" locked="1" layoutInCell="1" allowOverlap="1" wp14:anchorId="687DCEC7" wp14:editId="3D7284D4">
          <wp:simplePos x="0" y="0"/>
          <wp:positionH relativeFrom="page">
            <wp:posOffset>4716780</wp:posOffset>
          </wp:positionH>
          <wp:positionV relativeFrom="page">
            <wp:posOffset>414020</wp:posOffset>
          </wp:positionV>
          <wp:extent cx="1987200" cy="270000"/>
          <wp:effectExtent l="0" t="0" r="0" b="0"/>
          <wp:wrapNone/>
          <wp:docPr id="21136579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3657945" name=""/>
                  <pic:cNvPicPr/>
                </pic:nvPicPr>
                <pic:blipFill>
                  <a:blip r:embed="rId1">
                    <a:extLst>
                      <a:ext uri="{28A0092B-C50C-407E-A947-70E740481C1C}">
                        <a14:useLocalDpi xmlns:a14="http://schemas.microsoft.com/office/drawing/2010/main" val="0"/>
                      </a:ext>
                    </a:extLst>
                  </a:blip>
                  <a:stretch>
                    <a:fillRect/>
                  </a:stretch>
                </pic:blipFill>
                <pic:spPr>
                  <a:xfrm>
                    <a:off x="0" y="0"/>
                    <a:ext cx="1987200" cy="27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09701" w14:textId="77777777" w:rsidR="00D44150" w:rsidRDefault="00EE0CB5">
    <w:pPr>
      <w:pStyle w:val="Header"/>
    </w:pPr>
    <w:r>
      <w:rPr>
        <w:noProof/>
      </w:rPr>
      <w:drawing>
        <wp:anchor distT="0" distB="0" distL="114300" distR="114300" simplePos="0" relativeHeight="251658241" behindDoc="1" locked="0" layoutInCell="1" allowOverlap="1" wp14:anchorId="6D5E9F5D" wp14:editId="6214B7A2">
          <wp:simplePos x="0" y="0"/>
          <wp:positionH relativeFrom="column">
            <wp:posOffset>4528820</wp:posOffset>
          </wp:positionH>
          <wp:positionV relativeFrom="paragraph">
            <wp:posOffset>102235</wp:posOffset>
          </wp:positionV>
          <wp:extent cx="1438275" cy="247650"/>
          <wp:effectExtent l="0" t="0" r="0" b="0"/>
          <wp:wrapNone/>
          <wp:docPr id="1" name="Grafik 0" descr="Sensirion_green_cmyk_300dpi_4cm.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0" descr="Sensirion_green_cmyk_300dpi_4cm.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2476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4FE6"/>
    <w:multiLevelType w:val="multilevel"/>
    <w:tmpl w:val="0E88ED38"/>
    <w:lvl w:ilvl="0">
      <w:start w:val="1"/>
      <w:numFmt w:val="bullet"/>
      <w:pStyle w:val="BulletpointsEbene1"/>
      <w:lvlText w:val=""/>
      <w:lvlJc w:val="left"/>
      <w:pPr>
        <w:ind w:left="454" w:hanging="454"/>
      </w:pPr>
      <w:rPr>
        <w:rFonts w:ascii="Symbol" w:hAnsi="Symbol" w:hint="default"/>
      </w:rPr>
    </w:lvl>
    <w:lvl w:ilvl="1">
      <w:start w:val="1"/>
      <w:numFmt w:val="bullet"/>
      <w:pStyle w:val="BulletpointsEbene2"/>
      <w:lvlText w:val=""/>
      <w:lvlJc w:val="left"/>
      <w:pPr>
        <w:tabs>
          <w:tab w:val="num" w:pos="907"/>
        </w:tabs>
        <w:ind w:left="907" w:hanging="453"/>
      </w:pPr>
      <w:rPr>
        <w:rFonts w:ascii="Symbol" w:hAnsi="Symbol" w:hint="default"/>
      </w:rPr>
    </w:lvl>
    <w:lvl w:ilvl="2">
      <w:start w:val="1"/>
      <w:numFmt w:val="bullet"/>
      <w:lvlText w:val=""/>
      <w:lvlJc w:val="left"/>
      <w:pPr>
        <w:tabs>
          <w:tab w:val="num" w:pos="1361"/>
        </w:tabs>
        <w:ind w:left="1361" w:hanging="454"/>
      </w:pPr>
      <w:rPr>
        <w:rFonts w:ascii="Symbol" w:hAnsi="Symbol" w:hint="default"/>
      </w:rPr>
    </w:lvl>
    <w:lvl w:ilvl="3">
      <w:start w:val="1"/>
      <w:numFmt w:val="lowerLetter"/>
      <w:lvlText w:val="%4)"/>
      <w:lvlJc w:val="left"/>
      <w:pPr>
        <w:ind w:left="454" w:hanging="454"/>
      </w:pPr>
      <w:rPr>
        <w:rFonts w:hint="default"/>
      </w:rPr>
    </w:lvl>
    <w:lvl w:ilvl="4">
      <w:start w:val="1"/>
      <w:numFmt w:val="bullet"/>
      <w:lvlText w:val=""/>
      <w:lvlJc w:val="left"/>
      <w:pPr>
        <w:tabs>
          <w:tab w:val="num" w:pos="907"/>
        </w:tabs>
        <w:ind w:left="907" w:hanging="453"/>
      </w:pPr>
      <w:rPr>
        <w:rFonts w:ascii="Wingdings" w:hAnsi="Wingdings" w:hint="default"/>
      </w:rPr>
    </w:lvl>
    <w:lvl w:ilvl="5">
      <w:start w:val="1"/>
      <w:numFmt w:val="ordinal"/>
      <w:lvlText w:val="%6"/>
      <w:lvlJc w:val="left"/>
      <w:pPr>
        <w:ind w:left="454" w:hanging="454"/>
      </w:pPr>
      <w:rPr>
        <w:rFonts w:hint="default"/>
      </w:rPr>
    </w:lvl>
    <w:lvl w:ilvl="6">
      <w:start w:val="1"/>
      <w:numFmt w:val="bullet"/>
      <w:lvlText w:val=""/>
      <w:lvlJc w:val="left"/>
      <w:pPr>
        <w:tabs>
          <w:tab w:val="num" w:pos="907"/>
        </w:tabs>
        <w:ind w:left="907" w:hanging="453"/>
      </w:pPr>
      <w:rPr>
        <w:rFonts w:ascii="Wingdings" w:hAnsi="Wingdings" w:hint="default"/>
      </w:rPr>
    </w:lvl>
    <w:lvl w:ilvl="7">
      <w:start w:val="1"/>
      <w:numFmt w:val="upperRoman"/>
      <w:lvlText w:val="%8."/>
      <w:lvlJc w:val="left"/>
      <w:pPr>
        <w:ind w:left="454" w:hanging="454"/>
      </w:pPr>
      <w:rPr>
        <w:rFonts w:hint="default"/>
      </w:rPr>
    </w:lvl>
    <w:lvl w:ilvl="8">
      <w:start w:val="1"/>
      <w:numFmt w:val="bullet"/>
      <w:lvlText w:val=""/>
      <w:lvlJc w:val="left"/>
      <w:pPr>
        <w:tabs>
          <w:tab w:val="num" w:pos="907"/>
        </w:tabs>
        <w:ind w:left="907" w:hanging="453"/>
      </w:pPr>
      <w:rPr>
        <w:rFonts w:ascii="Wingdings" w:hAnsi="Wingdings" w:hint="default"/>
      </w:rPr>
    </w:lvl>
  </w:abstractNum>
  <w:abstractNum w:abstractNumId="1" w15:restartNumberingAfterBreak="0">
    <w:nsid w:val="0C6D6BD3"/>
    <w:multiLevelType w:val="multilevel"/>
    <w:tmpl w:val="0AACE874"/>
    <w:numStyleLink w:val="SensirionList123Heading"/>
  </w:abstractNum>
  <w:abstractNum w:abstractNumId="2" w15:restartNumberingAfterBreak="0">
    <w:nsid w:val="21190147"/>
    <w:multiLevelType w:val="multilevel"/>
    <w:tmpl w:val="CCE27B6A"/>
    <w:styleLink w:val="SensirionList123Numbering"/>
    <w:lvl w:ilvl="0">
      <w:start w:val="1"/>
      <w:numFmt w:val="decimal"/>
      <w:pStyle w:val="Numbering"/>
      <w:lvlText w:val="%1."/>
      <w:lvlJc w:val="left"/>
      <w:pPr>
        <w:ind w:left="454" w:hanging="454"/>
      </w:pPr>
      <w:rPr>
        <w:rFonts w:hint="default"/>
      </w:rPr>
    </w:lvl>
    <w:lvl w:ilvl="1">
      <w:start w:val="1"/>
      <w:numFmt w:val="none"/>
      <w:lvlText w:val=""/>
      <w:lvlJc w:val="left"/>
      <w:pPr>
        <w:ind w:left="454" w:hanging="454"/>
      </w:pPr>
      <w:rPr>
        <w:rFonts w:hint="default"/>
      </w:rPr>
    </w:lvl>
    <w:lvl w:ilvl="2">
      <w:start w:val="1"/>
      <w:numFmt w:val="none"/>
      <w:lvlText w:val=""/>
      <w:lvlJc w:val="left"/>
      <w:pPr>
        <w:ind w:left="454" w:hanging="454"/>
      </w:pPr>
      <w:rPr>
        <w:rFonts w:hint="default"/>
      </w:rPr>
    </w:lvl>
    <w:lvl w:ilvl="3">
      <w:start w:val="1"/>
      <w:numFmt w:val="none"/>
      <w:lvlText w:val=""/>
      <w:lvlJc w:val="left"/>
      <w:pPr>
        <w:ind w:left="454" w:hanging="454"/>
      </w:pPr>
      <w:rPr>
        <w:rFonts w:hint="default"/>
      </w:rPr>
    </w:lvl>
    <w:lvl w:ilvl="4">
      <w:start w:val="1"/>
      <w:numFmt w:val="none"/>
      <w:lvlText w:val=""/>
      <w:lvlJc w:val="left"/>
      <w:pPr>
        <w:ind w:left="454" w:hanging="454"/>
      </w:pPr>
      <w:rPr>
        <w:rFonts w:hint="default"/>
      </w:rPr>
    </w:lvl>
    <w:lvl w:ilvl="5">
      <w:start w:val="1"/>
      <w:numFmt w:val="none"/>
      <w:lvlText w:val=""/>
      <w:lvlJc w:val="left"/>
      <w:pPr>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3" w15:restartNumberingAfterBreak="0">
    <w:nsid w:val="26A12FB4"/>
    <w:multiLevelType w:val="multilevel"/>
    <w:tmpl w:val="33161A2E"/>
    <w:styleLink w:val="SensirionListealt"/>
    <w:lvl w:ilvl="0">
      <w:start w:val="1"/>
      <w:numFmt w:val="bullet"/>
      <w:lvlText w:val=""/>
      <w:lvlJc w:val="left"/>
      <w:pPr>
        <w:tabs>
          <w:tab w:val="num" w:pos="454"/>
        </w:tabs>
        <w:ind w:left="454" w:hanging="454"/>
      </w:pPr>
      <w:rPr>
        <w:rFonts w:ascii="Wingdings" w:hAnsi="Wingdings" w:hint="default"/>
      </w:rPr>
    </w:lvl>
    <w:lvl w:ilvl="1">
      <w:start w:val="1"/>
      <w:numFmt w:val="bullet"/>
      <w:lvlText w:val=""/>
      <w:lvlJc w:val="left"/>
      <w:pPr>
        <w:tabs>
          <w:tab w:val="num" w:pos="680"/>
        </w:tabs>
        <w:ind w:left="680" w:hanging="226"/>
      </w:pPr>
      <w:rPr>
        <w:rFonts w:ascii="Wingdings" w:hAnsi="Wingdings" w:hint="default"/>
      </w:rPr>
    </w:lvl>
    <w:lvl w:ilvl="2">
      <w:start w:val="1"/>
      <w:numFmt w:val="decimal"/>
      <w:lvlText w:val="%3."/>
      <w:lvlJc w:val="left"/>
      <w:pPr>
        <w:tabs>
          <w:tab w:val="num" w:pos="454"/>
        </w:tabs>
        <w:ind w:left="454" w:hanging="454"/>
      </w:pPr>
      <w:rPr>
        <w:rFonts w:hint="default"/>
      </w:rPr>
    </w:lvl>
    <w:lvl w:ilvl="3">
      <w:start w:val="1"/>
      <w:numFmt w:val="lowerLetter"/>
      <w:lvlText w:val="%4)"/>
      <w:lvlJc w:val="left"/>
      <w:pPr>
        <w:tabs>
          <w:tab w:val="num" w:pos="454"/>
        </w:tabs>
        <w:ind w:left="454" w:hanging="454"/>
      </w:pPr>
      <w:rPr>
        <w:rFonts w:hint="default"/>
      </w:rPr>
    </w:lvl>
    <w:lvl w:ilvl="4">
      <w:start w:val="1"/>
      <w:numFmt w:val="ordinal"/>
      <w:lvlText w:val="%5)"/>
      <w:lvlJc w:val="left"/>
      <w:pPr>
        <w:tabs>
          <w:tab w:val="num" w:pos="454"/>
        </w:tabs>
        <w:ind w:left="454" w:hanging="454"/>
      </w:pPr>
      <w:rPr>
        <w:rFonts w:hint="default"/>
      </w:rPr>
    </w:lvl>
    <w:lvl w:ilvl="5">
      <w:start w:val="1"/>
      <w:numFmt w:val="decimal"/>
      <w:lvlText w:val="%6."/>
      <w:lvlJc w:val="left"/>
      <w:pPr>
        <w:tabs>
          <w:tab w:val="num" w:pos="851"/>
        </w:tabs>
        <w:ind w:left="851" w:hanging="397"/>
      </w:pPr>
      <w:rPr>
        <w:rFonts w:hint="default"/>
      </w:rPr>
    </w:lvl>
    <w:lvl w:ilvl="6">
      <w:start w:val="1"/>
      <w:numFmt w:val="lowerLetter"/>
      <w:lvlText w:val="%7)"/>
      <w:lvlJc w:val="left"/>
      <w:pPr>
        <w:tabs>
          <w:tab w:val="num" w:pos="851"/>
        </w:tabs>
        <w:ind w:left="851" w:hanging="397"/>
      </w:pPr>
      <w:rPr>
        <w:rFonts w:hint="default"/>
      </w:rPr>
    </w:lvl>
    <w:lvl w:ilvl="7">
      <w:start w:val="1"/>
      <w:numFmt w:val="none"/>
      <w:lvlText w:val="%8"/>
      <w:lvlJc w:val="left"/>
      <w:pPr>
        <w:tabs>
          <w:tab w:val="num" w:pos="454"/>
        </w:tabs>
        <w:ind w:left="454" w:hanging="454"/>
      </w:pPr>
      <w:rPr>
        <w:rFonts w:hint="default"/>
      </w:rPr>
    </w:lvl>
    <w:lvl w:ilvl="8">
      <w:start w:val="1"/>
      <w:numFmt w:val="none"/>
      <w:lvlText w:val="%9"/>
      <w:lvlJc w:val="left"/>
      <w:pPr>
        <w:tabs>
          <w:tab w:val="num" w:pos="851"/>
        </w:tabs>
        <w:ind w:left="851" w:hanging="397"/>
      </w:pPr>
      <w:rPr>
        <w:rFonts w:hint="default"/>
      </w:rPr>
    </w:lvl>
  </w:abstractNum>
  <w:abstractNum w:abstractNumId="4" w15:restartNumberingAfterBreak="0">
    <w:nsid w:val="31FD6366"/>
    <w:multiLevelType w:val="multilevel"/>
    <w:tmpl w:val="0AACE874"/>
    <w:styleLink w:val="SensirionList123Heading"/>
    <w:lvl w:ilvl="0">
      <w:start w:val="1"/>
      <w:numFmt w:val="decimal"/>
      <w:pStyle w:val="Heading1"/>
      <w:lvlText w:val="%1"/>
      <w:lvlJc w:val="left"/>
      <w:pPr>
        <w:ind w:left="454" w:hanging="454"/>
      </w:pPr>
      <w:rPr>
        <w:rFonts w:hint="default"/>
      </w:rPr>
    </w:lvl>
    <w:lvl w:ilvl="1">
      <w:start w:val="1"/>
      <w:numFmt w:val="decimal"/>
      <w:pStyle w:val="Heading2"/>
      <w:lvlText w:val="%1.%2"/>
      <w:lvlJc w:val="left"/>
      <w:pPr>
        <w:ind w:left="567" w:hanging="567"/>
      </w:pPr>
      <w:rPr>
        <w:rFonts w:hint="default"/>
      </w:rPr>
    </w:lvl>
    <w:lvl w:ilvl="2">
      <w:start w:val="1"/>
      <w:numFmt w:val="decimal"/>
      <w:pStyle w:val="Heading3"/>
      <w:lvlText w:val="%1.%2.%3"/>
      <w:lvlJc w:val="left"/>
      <w:pPr>
        <w:ind w:left="680" w:hanging="680"/>
      </w:pPr>
      <w:rPr>
        <w:rFonts w:hint="default"/>
      </w:rPr>
    </w:lvl>
    <w:lvl w:ilvl="3">
      <w:start w:val="1"/>
      <w:numFmt w:val="decimal"/>
      <w:pStyle w:val="Heading4"/>
      <w:lvlText w:val="%1.%2.%3.%4"/>
      <w:lvlJc w:val="left"/>
      <w:pPr>
        <w:ind w:left="907" w:hanging="907"/>
      </w:pPr>
      <w:rPr>
        <w:rFonts w:hint="default"/>
      </w:rPr>
    </w:lvl>
    <w:lvl w:ilvl="4">
      <w:start w:val="1"/>
      <w:numFmt w:val="decimal"/>
      <w:pStyle w:val="Heading5"/>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3E394681"/>
    <w:multiLevelType w:val="multilevel"/>
    <w:tmpl w:val="0AACE874"/>
    <w:numStyleLink w:val="SensirionList123Heading"/>
  </w:abstractNum>
  <w:abstractNum w:abstractNumId="6" w15:restartNumberingAfterBreak="0">
    <w:nsid w:val="3FF729E4"/>
    <w:multiLevelType w:val="multilevel"/>
    <w:tmpl w:val="B05C3790"/>
    <w:lvl w:ilvl="0">
      <w:start w:val="1"/>
      <w:numFmt w:val="decimal"/>
      <w:lvlText w:val="%1"/>
      <w:lvlJc w:val="left"/>
      <w:pPr>
        <w:ind w:left="360" w:hanging="360"/>
      </w:pPr>
      <w:rPr>
        <w:rFonts w:ascii="Arial Narrow" w:hAnsi="Arial Narrow" w:hint="default"/>
        <w:b/>
        <w:i w:val="0"/>
        <w:color w:val="auto"/>
        <w:sz w:val="28"/>
        <w:szCs w:val="28"/>
        <w:u w:val="none"/>
      </w:rPr>
    </w:lvl>
    <w:lvl w:ilvl="1">
      <w:start w:val="1"/>
      <w:numFmt w:val="decimal"/>
      <w:lvlText w:val="%1.%2"/>
      <w:lvlJc w:val="left"/>
      <w:pPr>
        <w:tabs>
          <w:tab w:val="num" w:pos="-171"/>
        </w:tabs>
        <w:ind w:left="0" w:firstLine="0"/>
      </w:pPr>
      <w:rPr>
        <w:rFonts w:hint="default"/>
      </w:rPr>
    </w:lvl>
    <w:lvl w:ilvl="2">
      <w:start w:val="1"/>
      <w:numFmt w:val="decimal"/>
      <w:lvlText w:val="%1.%2.%3"/>
      <w:lvlJc w:val="left"/>
      <w:pPr>
        <w:tabs>
          <w:tab w:val="num" w:pos="-171"/>
        </w:tabs>
        <w:ind w:left="0" w:firstLine="0"/>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hint="default"/>
        <w:b w:val="0"/>
        <w:bCs/>
        <w:i w:val="0"/>
        <w:color w:val="auto"/>
        <w:sz w:val="22"/>
        <w:szCs w:val="22"/>
        <w:u w:val="none"/>
      </w:rPr>
    </w:lvl>
    <w:lvl w:ilvl="5">
      <w:start w:val="1"/>
      <w:numFmt w:val="decimal"/>
      <w:pStyle w:val="Heading6"/>
      <w:lvlText w:val="%1.%2.%3.%4.%5.%6"/>
      <w:lvlJc w:val="left"/>
      <w:pPr>
        <w:tabs>
          <w:tab w:val="num" w:pos="2236"/>
        </w:tabs>
        <w:ind w:left="2092" w:hanging="936"/>
      </w:pPr>
      <w:rPr>
        <w:rFonts w:hint="default"/>
      </w:rPr>
    </w:lvl>
    <w:lvl w:ilvl="6">
      <w:start w:val="1"/>
      <w:numFmt w:val="decimal"/>
      <w:pStyle w:val="Heading7"/>
      <w:lvlText w:val="%1.%2.%3.%4.%5.%6.%7"/>
      <w:lvlJc w:val="left"/>
      <w:pPr>
        <w:tabs>
          <w:tab w:val="num" w:pos="2956"/>
        </w:tabs>
        <w:ind w:left="2596" w:hanging="1080"/>
      </w:pPr>
      <w:rPr>
        <w:rFonts w:hint="default"/>
      </w:rPr>
    </w:lvl>
    <w:lvl w:ilvl="7">
      <w:start w:val="1"/>
      <w:numFmt w:val="decimal"/>
      <w:pStyle w:val="Heading8"/>
      <w:lvlText w:val="%1.%2.%3.%4.%5.%6.%7.%8"/>
      <w:lvlJc w:val="left"/>
      <w:pPr>
        <w:tabs>
          <w:tab w:val="num" w:pos="3316"/>
        </w:tabs>
        <w:ind w:left="3100" w:hanging="1224"/>
      </w:pPr>
      <w:rPr>
        <w:rFonts w:hint="default"/>
      </w:rPr>
    </w:lvl>
    <w:lvl w:ilvl="8">
      <w:start w:val="1"/>
      <w:numFmt w:val="decimal"/>
      <w:pStyle w:val="Heading9"/>
      <w:lvlText w:val="%1.%2.%3.%4.%5.%6.%7.%8.%9"/>
      <w:lvlJc w:val="left"/>
      <w:pPr>
        <w:tabs>
          <w:tab w:val="num" w:pos="4036"/>
        </w:tabs>
        <w:ind w:left="3676" w:hanging="1440"/>
      </w:pPr>
      <w:rPr>
        <w:rFonts w:hint="default"/>
      </w:rPr>
    </w:lvl>
  </w:abstractNum>
  <w:abstractNum w:abstractNumId="7" w15:restartNumberingAfterBreak="0">
    <w:nsid w:val="4B67712E"/>
    <w:multiLevelType w:val="multilevel"/>
    <w:tmpl w:val="0807001D"/>
    <w:lvl w:ilvl="0">
      <w:start w:val="1"/>
      <w:numFmt w:val="decimal"/>
      <w:lvlText w:val="%1)"/>
      <w:lvlJc w:val="left"/>
      <w:pPr>
        <w:ind w:left="360" w:hanging="360"/>
      </w:pPr>
      <w:rPr>
        <w:rFonts w:ascii="Klavika Basic Regular" w:hAnsi="Klavika Basic Regular"/>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Wingdings" w:hAnsi="Wingding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Wingdings" w:hAnsi="Wingdings" w:hint="default"/>
      </w:rPr>
    </w:lvl>
    <w:lvl w:ilvl="8">
      <w:start w:val="1"/>
      <w:numFmt w:val="bullet"/>
      <w:lvlText w:val=""/>
      <w:lvlJc w:val="left"/>
      <w:pPr>
        <w:ind w:left="3240" w:hanging="360"/>
      </w:pPr>
      <w:rPr>
        <w:rFonts w:ascii="Wingdings" w:hAnsi="Wingdings" w:hint="default"/>
      </w:rPr>
    </w:lvl>
  </w:abstractNum>
  <w:abstractNum w:abstractNumId="8" w15:restartNumberingAfterBreak="0">
    <w:nsid w:val="4EAA10B1"/>
    <w:multiLevelType w:val="multilevel"/>
    <w:tmpl w:val="D00274A4"/>
    <w:styleLink w:val="SensirionListBulletPoints"/>
    <w:lvl w:ilvl="0">
      <w:start w:val="1"/>
      <w:numFmt w:val="bullet"/>
      <w:pStyle w:val="BulletpointsLevel1"/>
      <w:lvlText w:val=""/>
      <w:lvlJc w:val="left"/>
      <w:pPr>
        <w:ind w:left="227" w:hanging="227"/>
      </w:pPr>
      <w:rPr>
        <w:rFonts w:ascii="Symbol" w:hAnsi="Symbol" w:hint="default"/>
      </w:rPr>
    </w:lvl>
    <w:lvl w:ilvl="1">
      <w:start w:val="1"/>
      <w:numFmt w:val="bullet"/>
      <w:pStyle w:val="BulletpointsLevel2"/>
      <w:lvlText w:val=""/>
      <w:lvlJc w:val="left"/>
      <w:pPr>
        <w:ind w:left="454" w:hanging="227"/>
      </w:pPr>
      <w:rPr>
        <w:rFonts w:ascii="Symbol" w:hAnsi="Symbol" w:hint="default"/>
      </w:rPr>
    </w:lvl>
    <w:lvl w:ilvl="2">
      <w:start w:val="1"/>
      <w:numFmt w:val="none"/>
      <w:pStyle w:val="noBulletpoint"/>
      <w:lvlText w:val=""/>
      <w:lvlJc w:val="left"/>
      <w:pPr>
        <w:ind w:left="0" w:firstLine="0"/>
      </w:pPr>
      <w:rPr>
        <w:rFonts w:hint="default"/>
      </w:rPr>
    </w:lvl>
    <w:lvl w:ilvl="3">
      <w:start w:val="1"/>
      <w:numFmt w:val="bullet"/>
      <w:pStyle w:val="ListBullet"/>
      <w:lvlText w:val=""/>
      <w:lvlJc w:val="left"/>
      <w:pPr>
        <w:ind w:left="227" w:hanging="227"/>
      </w:pPr>
      <w:rPr>
        <w:rFonts w:ascii="Symbol" w:hAnsi="Symbol" w:hint="default"/>
      </w:rPr>
    </w:lvl>
    <w:lvl w:ilvl="4">
      <w:start w:val="1"/>
      <w:numFmt w:val="bullet"/>
      <w:pStyle w:val="ListBullet2"/>
      <w:lvlText w:val=""/>
      <w:lvlJc w:val="left"/>
      <w:pPr>
        <w:ind w:left="454" w:hanging="227"/>
      </w:pPr>
      <w:rPr>
        <w:rFonts w:ascii="Symbol" w:hAnsi="Symbol" w:hint="default"/>
      </w:rPr>
    </w:lvl>
    <w:lvl w:ilvl="5">
      <w:start w:val="1"/>
      <w:numFmt w:val="bullet"/>
      <w:pStyle w:val="ListBullet3"/>
      <w:lvlText w:val=""/>
      <w:lvlJc w:val="left"/>
      <w:pPr>
        <w:ind w:left="680" w:hanging="226"/>
      </w:pPr>
      <w:rPr>
        <w:rFonts w:ascii="Symbol" w:hAnsi="Symbol" w:hint="default"/>
      </w:rPr>
    </w:lvl>
    <w:lvl w:ilvl="6">
      <w:start w:val="1"/>
      <w:numFmt w:val="bullet"/>
      <w:pStyle w:val="ListBullet4"/>
      <w:lvlText w:val=""/>
      <w:lvlJc w:val="left"/>
      <w:pPr>
        <w:ind w:left="907" w:hanging="227"/>
      </w:pPr>
      <w:rPr>
        <w:rFonts w:ascii="Symbol" w:hAnsi="Symbol" w:hint="default"/>
      </w:rPr>
    </w:lvl>
    <w:lvl w:ilvl="7">
      <w:start w:val="1"/>
      <w:numFmt w:val="bullet"/>
      <w:pStyle w:val="ListBullet5"/>
      <w:lvlText w:val=""/>
      <w:lvlJc w:val="left"/>
      <w:pPr>
        <w:ind w:left="1134" w:hanging="227"/>
      </w:pPr>
      <w:rPr>
        <w:rFonts w:ascii="Symbol" w:hAnsi="Symbol" w:hint="default"/>
      </w:rPr>
    </w:lvl>
    <w:lvl w:ilvl="8">
      <w:start w:val="1"/>
      <w:numFmt w:val="bullet"/>
      <w:lvlText w:val=""/>
      <w:lvlJc w:val="left"/>
      <w:pPr>
        <w:ind w:left="1361" w:hanging="227"/>
      </w:pPr>
      <w:rPr>
        <w:rFonts w:ascii="Symbol" w:hAnsi="Symbol" w:hint="default"/>
      </w:rPr>
    </w:lvl>
  </w:abstractNum>
  <w:abstractNum w:abstractNumId="9" w15:restartNumberingAfterBreak="0">
    <w:nsid w:val="6B1D7B0A"/>
    <w:multiLevelType w:val="multilevel"/>
    <w:tmpl w:val="E838465A"/>
    <w:styleLink w:val="SensirionListabcLettering"/>
    <w:lvl w:ilvl="0">
      <w:start w:val="1"/>
      <w:numFmt w:val="lowerLetter"/>
      <w:pStyle w:val="Lettering"/>
      <w:lvlText w:val="%1)"/>
      <w:lvlJc w:val="left"/>
      <w:pPr>
        <w:ind w:left="454" w:hanging="454"/>
      </w:pPr>
      <w:rPr>
        <w:rFonts w:hint="default"/>
      </w:rPr>
    </w:lvl>
    <w:lvl w:ilvl="1">
      <w:start w:val="1"/>
      <w:numFmt w:val="none"/>
      <w:lvlText w:val=""/>
      <w:lvlJc w:val="left"/>
      <w:pPr>
        <w:ind w:left="454" w:hanging="454"/>
      </w:pPr>
      <w:rPr>
        <w:rFonts w:hint="default"/>
      </w:rPr>
    </w:lvl>
    <w:lvl w:ilvl="2">
      <w:start w:val="1"/>
      <w:numFmt w:val="none"/>
      <w:lvlText w:val=""/>
      <w:lvlJc w:val="left"/>
      <w:pPr>
        <w:ind w:left="454" w:hanging="454"/>
      </w:pPr>
      <w:rPr>
        <w:rFonts w:hint="default"/>
      </w:rPr>
    </w:lvl>
    <w:lvl w:ilvl="3">
      <w:start w:val="1"/>
      <w:numFmt w:val="none"/>
      <w:lvlText w:val=""/>
      <w:lvlJc w:val="left"/>
      <w:pPr>
        <w:ind w:left="454" w:hanging="454"/>
      </w:pPr>
      <w:rPr>
        <w:rFonts w:hint="default"/>
      </w:rPr>
    </w:lvl>
    <w:lvl w:ilvl="4">
      <w:start w:val="1"/>
      <w:numFmt w:val="none"/>
      <w:lvlText w:val=""/>
      <w:lvlJc w:val="left"/>
      <w:pPr>
        <w:ind w:left="454" w:hanging="454"/>
      </w:pPr>
      <w:rPr>
        <w:rFonts w:hint="default"/>
      </w:rPr>
    </w:lvl>
    <w:lvl w:ilvl="5">
      <w:start w:val="1"/>
      <w:numFmt w:val="none"/>
      <w:lvlText w:val=""/>
      <w:lvlJc w:val="left"/>
      <w:pPr>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num w:numId="1" w16cid:durableId="100341035">
    <w:abstractNumId w:val="0"/>
  </w:num>
  <w:num w:numId="2" w16cid:durableId="1465200474">
    <w:abstractNumId w:val="7"/>
  </w:num>
  <w:num w:numId="3" w16cid:durableId="1578400284">
    <w:abstractNumId w:val="3"/>
  </w:num>
  <w:num w:numId="4" w16cid:durableId="1091857931">
    <w:abstractNumId w:val="6"/>
  </w:num>
  <w:num w:numId="5" w16cid:durableId="996156133">
    <w:abstractNumId w:val="8"/>
  </w:num>
  <w:num w:numId="6" w16cid:durableId="15458258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40872374">
    <w:abstractNumId w:val="4"/>
  </w:num>
  <w:num w:numId="8" w16cid:durableId="1556505634">
    <w:abstractNumId w:val="5"/>
  </w:num>
  <w:num w:numId="9" w16cid:durableId="425276189">
    <w:abstractNumId w:val="1"/>
  </w:num>
  <w:num w:numId="10" w16cid:durableId="1797064802">
    <w:abstractNumId w:val="2"/>
  </w:num>
  <w:num w:numId="11" w16cid:durableId="941187127">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0BF"/>
    <w:rsid w:val="00001072"/>
    <w:rsid w:val="00002202"/>
    <w:rsid w:val="000076EB"/>
    <w:rsid w:val="000108D0"/>
    <w:rsid w:val="0001116D"/>
    <w:rsid w:val="0002682B"/>
    <w:rsid w:val="00035A9B"/>
    <w:rsid w:val="000406CD"/>
    <w:rsid w:val="000700BD"/>
    <w:rsid w:val="000718AC"/>
    <w:rsid w:val="000903CE"/>
    <w:rsid w:val="00096D1E"/>
    <w:rsid w:val="000B2869"/>
    <w:rsid w:val="000B604D"/>
    <w:rsid w:val="000D523B"/>
    <w:rsid w:val="000D7F02"/>
    <w:rsid w:val="000E2D1F"/>
    <w:rsid w:val="000E715F"/>
    <w:rsid w:val="000F24EC"/>
    <w:rsid w:val="000F4CED"/>
    <w:rsid w:val="00102207"/>
    <w:rsid w:val="00107038"/>
    <w:rsid w:val="00112447"/>
    <w:rsid w:val="00114D80"/>
    <w:rsid w:val="001156D3"/>
    <w:rsid w:val="00124F40"/>
    <w:rsid w:val="00130BB0"/>
    <w:rsid w:val="00151C8E"/>
    <w:rsid w:val="0015676E"/>
    <w:rsid w:val="001665A6"/>
    <w:rsid w:val="0018375E"/>
    <w:rsid w:val="001A414F"/>
    <w:rsid w:val="001B29A6"/>
    <w:rsid w:val="001C4532"/>
    <w:rsid w:val="001C4975"/>
    <w:rsid w:val="001D2E6D"/>
    <w:rsid w:val="001E1FA7"/>
    <w:rsid w:val="001E282A"/>
    <w:rsid w:val="001E6D3A"/>
    <w:rsid w:val="001F399E"/>
    <w:rsid w:val="00222ACF"/>
    <w:rsid w:val="00227D72"/>
    <w:rsid w:val="002779AB"/>
    <w:rsid w:val="00286366"/>
    <w:rsid w:val="002B2C61"/>
    <w:rsid w:val="002D45C8"/>
    <w:rsid w:val="002F53B8"/>
    <w:rsid w:val="002F75B2"/>
    <w:rsid w:val="003067D8"/>
    <w:rsid w:val="00316426"/>
    <w:rsid w:val="0033240B"/>
    <w:rsid w:val="0033350F"/>
    <w:rsid w:val="003541D0"/>
    <w:rsid w:val="00354DAC"/>
    <w:rsid w:val="00365915"/>
    <w:rsid w:val="00372AC0"/>
    <w:rsid w:val="00374196"/>
    <w:rsid w:val="00384A16"/>
    <w:rsid w:val="00387466"/>
    <w:rsid w:val="00395AB5"/>
    <w:rsid w:val="003C52E1"/>
    <w:rsid w:val="003E3705"/>
    <w:rsid w:val="003F133C"/>
    <w:rsid w:val="00411C9F"/>
    <w:rsid w:val="00442153"/>
    <w:rsid w:val="004441EC"/>
    <w:rsid w:val="004448D2"/>
    <w:rsid w:val="00446BD2"/>
    <w:rsid w:val="00447E02"/>
    <w:rsid w:val="00462957"/>
    <w:rsid w:val="00464578"/>
    <w:rsid w:val="00472BCD"/>
    <w:rsid w:val="0047464B"/>
    <w:rsid w:val="004754CC"/>
    <w:rsid w:val="00483F63"/>
    <w:rsid w:val="0049233D"/>
    <w:rsid w:val="00495788"/>
    <w:rsid w:val="004B6F57"/>
    <w:rsid w:val="004C0541"/>
    <w:rsid w:val="004D1E9E"/>
    <w:rsid w:val="004E47E0"/>
    <w:rsid w:val="004E6CEC"/>
    <w:rsid w:val="005007DF"/>
    <w:rsid w:val="005134E9"/>
    <w:rsid w:val="00527421"/>
    <w:rsid w:val="00527B1E"/>
    <w:rsid w:val="00534B89"/>
    <w:rsid w:val="00536945"/>
    <w:rsid w:val="0054380F"/>
    <w:rsid w:val="00584D18"/>
    <w:rsid w:val="00592B46"/>
    <w:rsid w:val="005B1B49"/>
    <w:rsid w:val="005B2282"/>
    <w:rsid w:val="005B333B"/>
    <w:rsid w:val="005C0352"/>
    <w:rsid w:val="005E5671"/>
    <w:rsid w:val="005E7EB2"/>
    <w:rsid w:val="005F24E3"/>
    <w:rsid w:val="005F49BC"/>
    <w:rsid w:val="006018AB"/>
    <w:rsid w:val="00603DDB"/>
    <w:rsid w:val="006227DA"/>
    <w:rsid w:val="00637320"/>
    <w:rsid w:val="00646483"/>
    <w:rsid w:val="00660A1E"/>
    <w:rsid w:val="00661641"/>
    <w:rsid w:val="00665C7D"/>
    <w:rsid w:val="006718EF"/>
    <w:rsid w:val="00676F5C"/>
    <w:rsid w:val="00683619"/>
    <w:rsid w:val="006900BF"/>
    <w:rsid w:val="006A5423"/>
    <w:rsid w:val="006C4645"/>
    <w:rsid w:val="006C7CCC"/>
    <w:rsid w:val="006D30A0"/>
    <w:rsid w:val="006D5290"/>
    <w:rsid w:val="006E5C06"/>
    <w:rsid w:val="00701DBC"/>
    <w:rsid w:val="00703360"/>
    <w:rsid w:val="00725B00"/>
    <w:rsid w:val="007267E3"/>
    <w:rsid w:val="00735F7E"/>
    <w:rsid w:val="00742743"/>
    <w:rsid w:val="00745A76"/>
    <w:rsid w:val="007644AC"/>
    <w:rsid w:val="007669D5"/>
    <w:rsid w:val="0077452E"/>
    <w:rsid w:val="007B0CAA"/>
    <w:rsid w:val="007D40B2"/>
    <w:rsid w:val="007E414F"/>
    <w:rsid w:val="007E4CBA"/>
    <w:rsid w:val="00811948"/>
    <w:rsid w:val="00840AA5"/>
    <w:rsid w:val="00847E34"/>
    <w:rsid w:val="00870DB5"/>
    <w:rsid w:val="008C3807"/>
    <w:rsid w:val="008C59CA"/>
    <w:rsid w:val="008F6EE9"/>
    <w:rsid w:val="00905E90"/>
    <w:rsid w:val="009075EF"/>
    <w:rsid w:val="00923720"/>
    <w:rsid w:val="009249ED"/>
    <w:rsid w:val="00935B8D"/>
    <w:rsid w:val="00936C4F"/>
    <w:rsid w:val="0095116F"/>
    <w:rsid w:val="00957A44"/>
    <w:rsid w:val="00961B4A"/>
    <w:rsid w:val="00964ADD"/>
    <w:rsid w:val="0098564E"/>
    <w:rsid w:val="00986756"/>
    <w:rsid w:val="009C0788"/>
    <w:rsid w:val="009C43FC"/>
    <w:rsid w:val="009D2A77"/>
    <w:rsid w:val="009E32A0"/>
    <w:rsid w:val="009E5A09"/>
    <w:rsid w:val="009E5A33"/>
    <w:rsid w:val="00A10CC5"/>
    <w:rsid w:val="00A131A9"/>
    <w:rsid w:val="00A23BE8"/>
    <w:rsid w:val="00A27CCA"/>
    <w:rsid w:val="00A32015"/>
    <w:rsid w:val="00A325E4"/>
    <w:rsid w:val="00A353C1"/>
    <w:rsid w:val="00A5624A"/>
    <w:rsid w:val="00A71276"/>
    <w:rsid w:val="00A722D2"/>
    <w:rsid w:val="00A7316A"/>
    <w:rsid w:val="00A9042D"/>
    <w:rsid w:val="00A93798"/>
    <w:rsid w:val="00AA52DE"/>
    <w:rsid w:val="00AA5F6F"/>
    <w:rsid w:val="00AB465E"/>
    <w:rsid w:val="00AC70BD"/>
    <w:rsid w:val="00AD470F"/>
    <w:rsid w:val="00AE1D8A"/>
    <w:rsid w:val="00AE77FB"/>
    <w:rsid w:val="00AF3525"/>
    <w:rsid w:val="00AF587E"/>
    <w:rsid w:val="00B0608A"/>
    <w:rsid w:val="00B1475B"/>
    <w:rsid w:val="00B2728E"/>
    <w:rsid w:val="00B36BAD"/>
    <w:rsid w:val="00B40E96"/>
    <w:rsid w:val="00B4241C"/>
    <w:rsid w:val="00B43297"/>
    <w:rsid w:val="00B54145"/>
    <w:rsid w:val="00B71553"/>
    <w:rsid w:val="00B730FE"/>
    <w:rsid w:val="00B757BD"/>
    <w:rsid w:val="00BD1648"/>
    <w:rsid w:val="00BE0165"/>
    <w:rsid w:val="00C043C3"/>
    <w:rsid w:val="00C36958"/>
    <w:rsid w:val="00C3756F"/>
    <w:rsid w:val="00C5040D"/>
    <w:rsid w:val="00C64E26"/>
    <w:rsid w:val="00C731BF"/>
    <w:rsid w:val="00C85242"/>
    <w:rsid w:val="00C95AB3"/>
    <w:rsid w:val="00CF2C8E"/>
    <w:rsid w:val="00CF7230"/>
    <w:rsid w:val="00D06FA3"/>
    <w:rsid w:val="00D15550"/>
    <w:rsid w:val="00D44150"/>
    <w:rsid w:val="00D502C0"/>
    <w:rsid w:val="00D5508C"/>
    <w:rsid w:val="00D601C3"/>
    <w:rsid w:val="00D74F06"/>
    <w:rsid w:val="00D83E55"/>
    <w:rsid w:val="00D91EAB"/>
    <w:rsid w:val="00D9787E"/>
    <w:rsid w:val="00DA5EFF"/>
    <w:rsid w:val="00DB58D5"/>
    <w:rsid w:val="00DB70B8"/>
    <w:rsid w:val="00DC7647"/>
    <w:rsid w:val="00DD5CA7"/>
    <w:rsid w:val="00E01F44"/>
    <w:rsid w:val="00E15DCB"/>
    <w:rsid w:val="00E20478"/>
    <w:rsid w:val="00E2797B"/>
    <w:rsid w:val="00E27DAC"/>
    <w:rsid w:val="00E32DB8"/>
    <w:rsid w:val="00E36431"/>
    <w:rsid w:val="00E37B1D"/>
    <w:rsid w:val="00E76C33"/>
    <w:rsid w:val="00E82A40"/>
    <w:rsid w:val="00E84A34"/>
    <w:rsid w:val="00E86662"/>
    <w:rsid w:val="00E94DCD"/>
    <w:rsid w:val="00EA6768"/>
    <w:rsid w:val="00EB0821"/>
    <w:rsid w:val="00EC096E"/>
    <w:rsid w:val="00ED119D"/>
    <w:rsid w:val="00ED1987"/>
    <w:rsid w:val="00ED68B1"/>
    <w:rsid w:val="00EE0CB5"/>
    <w:rsid w:val="00EE28D7"/>
    <w:rsid w:val="00EF5079"/>
    <w:rsid w:val="00F07475"/>
    <w:rsid w:val="00F108E3"/>
    <w:rsid w:val="00F2272A"/>
    <w:rsid w:val="00F22AED"/>
    <w:rsid w:val="00F40AFE"/>
    <w:rsid w:val="00F5537F"/>
    <w:rsid w:val="00F55BCB"/>
    <w:rsid w:val="00F5617D"/>
    <w:rsid w:val="00F73233"/>
    <w:rsid w:val="00F80C44"/>
    <w:rsid w:val="00FA2046"/>
    <w:rsid w:val="00FB08E7"/>
    <w:rsid w:val="00FD21E7"/>
    <w:rsid w:val="00FE1331"/>
    <w:rsid w:val="00FE7FCB"/>
    <w:rsid w:val="00FF1FC1"/>
    <w:rsid w:val="00FF4084"/>
    <w:rsid w:val="00FF48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44AC72"/>
  <w15:chartTrackingRefBased/>
  <w15:docId w15:val="{088CA26C-1275-489F-A4B9-EA546EBDD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9" w:qFormat="1"/>
    <w:lsdException w:name="heading 2" w:uiPriority="19" w:qFormat="1"/>
    <w:lsdException w:name="heading 3" w:uiPriority="19" w:qFormat="1"/>
    <w:lsdException w:name="heading 4" w:semiHidden="1" w:uiPriority="19" w:unhideWhenUsed="1" w:qFormat="1"/>
    <w:lsdException w:name="heading 5" w:semiHidden="1" w:uiPriority="19" w:unhideWhenUsed="1" w:qFormat="1"/>
    <w:lsdException w:name="heading 6" w:semiHidden="1" w:uiPriority="19" w:unhideWhenUsed="1" w:qFormat="1"/>
    <w:lsdException w:name="heading 7" w:semiHidden="1" w:uiPriority="19" w:unhideWhenUsed="1" w:qFormat="1"/>
    <w:lsdException w:name="heading 8" w:semiHidden="1" w:uiPriority="19" w:unhideWhenUsed="1" w:qFormat="1"/>
    <w:lsdException w:name="heading 9" w:semiHidden="1" w:uiPriority="1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uiPriority="39" w:unhideWhenUsed="1"/>
    <w:lsdException w:name="toc 4" w:semiHidden="1" w:uiPriority="31" w:unhideWhenUsed="1"/>
    <w:lsdException w:name="toc 5" w:semiHidden="1" w:uiPriority="31" w:unhideWhenUsed="1"/>
    <w:lsdException w:name="toc 6" w:semiHidden="1" w:uiPriority="31" w:unhideWhenUsed="1"/>
    <w:lsdException w:name="toc 7" w:semiHidden="1" w:uiPriority="31" w:unhideWhenUsed="1"/>
    <w:lsdException w:name="toc 8" w:semiHidden="1" w:uiPriority="31" w:unhideWhenUsed="1"/>
    <w:lsdException w:name="toc 9" w:semiHidden="1" w:uiPriority="31" w:unhideWhenUsed="1"/>
    <w:lsdException w:name="Normal Indent" w:semiHidden="1" w:uiPriority="0" w:unhideWhenUsed="1"/>
    <w:lsdException w:name="footnote text" w:semiHidden="1" w:uiPriority="39" w:unhideWhenUsed="1"/>
    <w:lsdException w:name="annotation text" w:semiHidden="1" w:unhideWhenUsed="1"/>
    <w:lsdException w:name="header" w:semiHidden="1" w:uiPriority="39" w:unhideWhenUsed="1"/>
    <w:lsdException w:name="footer" w:semiHidden="1" w:uiPriority="10" w:unhideWhenUsed="1"/>
    <w:lsdException w:name="index heading" w:semiHidden="1" w:uiPriority="0" w:unhideWhenUsed="1"/>
    <w:lsdException w:name="caption" w:semiHidden="1" w:uiPriority="34"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39" w:unhideWhenUsed="1"/>
    <w:lsdException w:name="annotation reference" w:semiHidden="1" w:unhideWhenUsed="1"/>
    <w:lsdException w:name="line number" w:semiHidden="1" w:unhideWhenUsed="1"/>
    <w:lsdException w:name="page number" w:semiHidden="1" w:uiPriority="15" w:unhideWhenUsed="1"/>
    <w:lsdException w:name="endnote reference" w:semiHidden="1" w:uiPriority="39" w:unhideWhenUsed="1"/>
    <w:lsdException w:name="endnote text" w:semiHidden="1" w:uiPriority="3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unhideWhenUsed="1"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4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FollowedHyperlink" w:semiHidden="1" w:uiPriority="36" w:unhideWhenUsed="1"/>
    <w:lsdException w:name="Strong" w:semiHidden="1" w:uiPriority="49" w:unhideWhenUsed="1" w:qFormat="1"/>
    <w:lsdException w:name="Emphasis" w:uiPriority="12"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59" w:unhideWhenUsed="1" w:qFormat="1"/>
    <w:lsdException w:name="Quote" w:semiHidden="1" w:unhideWhenUsed="1" w:qFormat="1"/>
    <w:lsdException w:name="Intense Quote" w:semiHidden="1"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13" w:qFormat="1"/>
    <w:lsdException w:name="Subtle Reference" w:semiHidden="1" w:uiPriority="31" w:unhideWhenUsed="1" w:qFormat="1"/>
    <w:lsdException w:name="Intense Reference" w:semiHidden="1" w:unhideWhenUsed="1" w:qFormat="1"/>
    <w:lsdException w:name="Book Title" w:semiHidden="1" w:unhideWhenUsed="1" w:qFormat="1"/>
    <w:lsdException w:name="Bibliography" w:semiHidden="1" w:uiPriority="33"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6C4F"/>
    <w:pPr>
      <w:spacing w:line="260" w:lineRule="atLeast"/>
    </w:pPr>
  </w:style>
  <w:style w:type="paragraph" w:styleId="Heading1">
    <w:name w:val="heading 1"/>
    <w:basedOn w:val="Normal"/>
    <w:next w:val="Normal"/>
    <w:link w:val="Heading1Char"/>
    <w:uiPriority w:val="19"/>
    <w:qFormat/>
    <w:rsid w:val="002779AB"/>
    <w:pPr>
      <w:keepNext/>
      <w:numPr>
        <w:numId w:val="7"/>
      </w:numPr>
      <w:spacing w:after="280" w:line="320" w:lineRule="exact"/>
      <w:contextualSpacing/>
      <w:outlineLvl w:val="0"/>
    </w:pPr>
    <w:rPr>
      <w:rFonts w:asciiTheme="majorHAnsi" w:hAnsiTheme="majorHAnsi" w:cs="Arial"/>
      <w:bCs/>
      <w:sz w:val="28"/>
      <w:szCs w:val="28"/>
      <w:lang w:eastAsia="de-DE"/>
    </w:rPr>
  </w:style>
  <w:style w:type="paragraph" w:styleId="Heading2">
    <w:name w:val="heading 2"/>
    <w:basedOn w:val="Normal"/>
    <w:next w:val="Normal"/>
    <w:link w:val="Heading2Char"/>
    <w:uiPriority w:val="19"/>
    <w:qFormat/>
    <w:rsid w:val="002779AB"/>
    <w:pPr>
      <w:keepNext/>
      <w:numPr>
        <w:ilvl w:val="1"/>
        <w:numId w:val="7"/>
      </w:numPr>
      <w:spacing w:after="240"/>
      <w:contextualSpacing/>
      <w:outlineLvl w:val="1"/>
    </w:pPr>
    <w:rPr>
      <w:rFonts w:asciiTheme="majorHAnsi" w:hAnsiTheme="majorHAnsi" w:cs="Arial"/>
      <w:bCs/>
      <w:sz w:val="24"/>
      <w:szCs w:val="24"/>
      <w:lang w:eastAsia="de-DE"/>
    </w:rPr>
  </w:style>
  <w:style w:type="paragraph" w:styleId="Heading3">
    <w:name w:val="heading 3"/>
    <w:basedOn w:val="Normal"/>
    <w:next w:val="Normal"/>
    <w:link w:val="Heading3Char"/>
    <w:uiPriority w:val="19"/>
    <w:qFormat/>
    <w:rsid w:val="002779AB"/>
    <w:pPr>
      <w:keepNext/>
      <w:numPr>
        <w:ilvl w:val="2"/>
        <w:numId w:val="7"/>
      </w:numPr>
      <w:spacing w:after="240"/>
      <w:contextualSpacing/>
      <w:outlineLvl w:val="2"/>
    </w:pPr>
    <w:rPr>
      <w:rFonts w:asciiTheme="majorHAnsi" w:hAnsiTheme="majorHAnsi" w:cs="Arial"/>
      <w:szCs w:val="18"/>
      <w:lang w:eastAsia="de-DE"/>
    </w:rPr>
  </w:style>
  <w:style w:type="paragraph" w:styleId="Heading4">
    <w:name w:val="heading 4"/>
    <w:basedOn w:val="Normal"/>
    <w:next w:val="Normal"/>
    <w:link w:val="Heading4Char"/>
    <w:uiPriority w:val="19"/>
    <w:unhideWhenUsed/>
    <w:qFormat/>
    <w:rsid w:val="009E5A33"/>
    <w:pPr>
      <w:keepNext/>
      <w:numPr>
        <w:ilvl w:val="3"/>
        <w:numId w:val="7"/>
      </w:numPr>
      <w:spacing w:after="120" w:line="240" w:lineRule="atLeast"/>
      <w:contextualSpacing/>
      <w:outlineLvl w:val="3"/>
    </w:pPr>
    <w:rPr>
      <w:rFonts w:cs="Arial"/>
      <w:szCs w:val="18"/>
      <w:lang w:eastAsia="de-DE"/>
    </w:rPr>
  </w:style>
  <w:style w:type="paragraph" w:styleId="Heading5">
    <w:name w:val="heading 5"/>
    <w:basedOn w:val="Normal"/>
    <w:next w:val="Normal"/>
    <w:link w:val="Heading5Char"/>
    <w:uiPriority w:val="19"/>
    <w:unhideWhenUsed/>
    <w:qFormat/>
    <w:rsid w:val="000B2869"/>
    <w:pPr>
      <w:keepNext/>
      <w:numPr>
        <w:ilvl w:val="4"/>
        <w:numId w:val="7"/>
      </w:numPr>
      <w:spacing w:after="120"/>
      <w:contextualSpacing/>
      <w:outlineLvl w:val="4"/>
    </w:pPr>
    <w:rPr>
      <w:rFonts w:cs="Arial"/>
      <w:szCs w:val="18"/>
      <w:lang w:eastAsia="de-DE"/>
    </w:rPr>
  </w:style>
  <w:style w:type="paragraph" w:styleId="Heading6">
    <w:name w:val="heading 6"/>
    <w:basedOn w:val="Normal"/>
    <w:next w:val="Normal"/>
    <w:link w:val="Heading6Char"/>
    <w:uiPriority w:val="19"/>
    <w:semiHidden/>
    <w:qFormat/>
    <w:rsid w:val="00DB58D5"/>
    <w:pPr>
      <w:numPr>
        <w:ilvl w:val="5"/>
        <w:numId w:val="4"/>
      </w:numPr>
      <w:spacing w:after="120" w:line="240" w:lineRule="atLeast"/>
      <w:contextualSpacing/>
      <w:outlineLvl w:val="5"/>
    </w:pPr>
    <w:rPr>
      <w:bCs/>
      <w:sz w:val="18"/>
      <w:lang w:eastAsia="de-DE"/>
    </w:rPr>
  </w:style>
  <w:style w:type="paragraph" w:styleId="Heading7">
    <w:name w:val="heading 7"/>
    <w:basedOn w:val="Normal"/>
    <w:next w:val="Normal"/>
    <w:link w:val="Heading7Char"/>
    <w:uiPriority w:val="19"/>
    <w:semiHidden/>
    <w:qFormat/>
    <w:rsid w:val="00DB58D5"/>
    <w:pPr>
      <w:numPr>
        <w:ilvl w:val="6"/>
        <w:numId w:val="4"/>
      </w:numPr>
      <w:spacing w:after="120" w:line="240" w:lineRule="atLeast"/>
      <w:contextualSpacing/>
      <w:outlineLvl w:val="6"/>
    </w:pPr>
    <w:rPr>
      <w:sz w:val="18"/>
      <w:szCs w:val="24"/>
      <w:lang w:eastAsia="de-DE"/>
    </w:rPr>
  </w:style>
  <w:style w:type="paragraph" w:styleId="Heading8">
    <w:name w:val="heading 8"/>
    <w:basedOn w:val="Normal"/>
    <w:next w:val="Normal"/>
    <w:link w:val="Heading8Char"/>
    <w:uiPriority w:val="19"/>
    <w:semiHidden/>
    <w:qFormat/>
    <w:rsid w:val="00DB58D5"/>
    <w:pPr>
      <w:numPr>
        <w:ilvl w:val="7"/>
        <w:numId w:val="4"/>
      </w:numPr>
      <w:spacing w:after="120" w:line="240" w:lineRule="atLeast"/>
      <w:contextualSpacing/>
      <w:outlineLvl w:val="7"/>
    </w:pPr>
    <w:rPr>
      <w:iCs/>
      <w:sz w:val="18"/>
      <w:szCs w:val="24"/>
      <w:lang w:eastAsia="de-DE"/>
    </w:rPr>
  </w:style>
  <w:style w:type="paragraph" w:styleId="Heading9">
    <w:name w:val="heading 9"/>
    <w:basedOn w:val="Normal"/>
    <w:next w:val="Normal"/>
    <w:link w:val="Heading9Char"/>
    <w:uiPriority w:val="19"/>
    <w:semiHidden/>
    <w:qFormat/>
    <w:rsid w:val="00DB58D5"/>
    <w:pPr>
      <w:numPr>
        <w:ilvl w:val="8"/>
        <w:numId w:val="4"/>
      </w:numPr>
      <w:tabs>
        <w:tab w:val="left" w:pos="1701"/>
      </w:tabs>
      <w:spacing w:after="120" w:line="240" w:lineRule="atLeast"/>
      <w:contextualSpacing/>
      <w:outlineLvl w:val="8"/>
    </w:pPr>
    <w:rPr>
      <w:sz w:val="18"/>
      <w:lang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14"/>
    <w:unhideWhenUsed/>
    <w:rsid w:val="00DB58D5"/>
  </w:style>
  <w:style w:type="character" w:customStyle="1" w:styleId="HeaderChar">
    <w:name w:val="Header Char"/>
    <w:link w:val="Header"/>
    <w:uiPriority w:val="14"/>
    <w:rsid w:val="001E1FA7"/>
    <w:rPr>
      <w:rFonts w:ascii="Arial Narrow" w:hAnsi="Arial Narrow" w:cs="Times New Roman"/>
      <w:sz w:val="20"/>
    </w:rPr>
  </w:style>
  <w:style w:type="paragraph" w:styleId="Footer">
    <w:name w:val="footer"/>
    <w:basedOn w:val="Normal"/>
    <w:link w:val="FooterChar"/>
    <w:uiPriority w:val="10"/>
    <w:rsid w:val="00372AC0"/>
    <w:pPr>
      <w:tabs>
        <w:tab w:val="center" w:pos="4536"/>
        <w:tab w:val="right" w:pos="9072"/>
      </w:tabs>
      <w:spacing w:line="240" w:lineRule="auto"/>
    </w:pPr>
    <w:rPr>
      <w:sz w:val="14"/>
    </w:rPr>
  </w:style>
  <w:style w:type="character" w:customStyle="1" w:styleId="FooterChar">
    <w:name w:val="Footer Char"/>
    <w:link w:val="Footer"/>
    <w:uiPriority w:val="10"/>
    <w:rsid w:val="00372AC0"/>
    <w:rPr>
      <w:sz w:val="14"/>
    </w:rPr>
  </w:style>
  <w:style w:type="paragraph" w:styleId="ListBullet2">
    <w:name w:val="List Bullet 2"/>
    <w:basedOn w:val="Normal"/>
    <w:uiPriority w:val="99"/>
    <w:semiHidden/>
    <w:rsid w:val="00E94DCD"/>
    <w:pPr>
      <w:numPr>
        <w:ilvl w:val="4"/>
        <w:numId w:val="5"/>
      </w:numPr>
    </w:pPr>
  </w:style>
  <w:style w:type="paragraph" w:styleId="ListBullet3">
    <w:name w:val="List Bullet 3"/>
    <w:basedOn w:val="Normal"/>
    <w:uiPriority w:val="99"/>
    <w:semiHidden/>
    <w:rsid w:val="00E94DCD"/>
    <w:pPr>
      <w:numPr>
        <w:ilvl w:val="5"/>
        <w:numId w:val="5"/>
      </w:numPr>
    </w:pPr>
  </w:style>
  <w:style w:type="paragraph" w:styleId="ListBullet4">
    <w:name w:val="List Bullet 4"/>
    <w:basedOn w:val="Normal"/>
    <w:uiPriority w:val="99"/>
    <w:semiHidden/>
    <w:rsid w:val="00E94DCD"/>
    <w:pPr>
      <w:numPr>
        <w:ilvl w:val="6"/>
        <w:numId w:val="5"/>
      </w:numPr>
    </w:pPr>
  </w:style>
  <w:style w:type="paragraph" w:styleId="ListBullet5">
    <w:name w:val="List Bullet 5"/>
    <w:basedOn w:val="Normal"/>
    <w:uiPriority w:val="99"/>
    <w:semiHidden/>
    <w:rsid w:val="00E94DCD"/>
    <w:pPr>
      <w:numPr>
        <w:ilvl w:val="7"/>
        <w:numId w:val="5"/>
      </w:numPr>
    </w:pPr>
  </w:style>
  <w:style w:type="table" w:customStyle="1" w:styleId="BasisTabelle">
    <w:name w:val="Basis Tabelle"/>
    <w:basedOn w:val="TableNormal"/>
    <w:rsid w:val="000B2869"/>
    <w:rPr>
      <w:lang w:eastAsia="de-CH"/>
    </w:rPr>
    <w:tblPr>
      <w:tblStyleRowBandSize w:val="1"/>
      <w:tblBorders>
        <w:bottom w:val="single" w:sz="2" w:space="0" w:color="808080"/>
        <w:insideH w:val="single" w:sz="2" w:space="0" w:color="808080"/>
      </w:tblBorders>
      <w:tblCellMar>
        <w:top w:w="57" w:type="dxa"/>
        <w:left w:w="57" w:type="dxa"/>
        <w:bottom w:w="57" w:type="dxa"/>
        <w:right w:w="57" w:type="dxa"/>
      </w:tblCellMar>
    </w:tblPr>
    <w:tblStylePr w:type="firstRow">
      <w:rPr>
        <w:rFonts w:asciiTheme="majorHAnsi" w:hAnsiTheme="majorHAnsi"/>
        <w:b w:val="0"/>
      </w:rPr>
      <w:tblPr/>
      <w:tcPr>
        <w:tcBorders>
          <w:bottom w:val="single" w:sz="4" w:space="0" w:color="808080"/>
        </w:tcBorders>
      </w:tcPr>
    </w:tblStylePr>
    <w:tblStylePr w:type="band1Horz">
      <w:tblPr/>
      <w:tcPr>
        <w:tcBorders>
          <w:bottom w:val="single" w:sz="4" w:space="0" w:color="808080"/>
        </w:tcBorders>
      </w:tcPr>
    </w:tblStylePr>
    <w:tblStylePr w:type="band2Horz">
      <w:tblPr/>
      <w:tcPr>
        <w:shd w:val="clear" w:color="auto" w:fill="E6E6E6"/>
      </w:tcPr>
    </w:tblStylePr>
  </w:style>
  <w:style w:type="paragraph" w:styleId="Caption">
    <w:name w:val="caption"/>
    <w:basedOn w:val="Normal"/>
    <w:next w:val="Normal"/>
    <w:uiPriority w:val="39"/>
    <w:unhideWhenUsed/>
    <w:rsid w:val="0002682B"/>
    <w:pPr>
      <w:framePr w:h="454" w:wrap="around" w:vAnchor="text" w:hAnchor="text" w:y="1"/>
      <w:suppressLineNumbers/>
      <w:spacing w:before="60" w:after="120" w:line="200" w:lineRule="atLeast"/>
      <w:ind w:right="113"/>
    </w:pPr>
    <w:rPr>
      <w:bCs/>
    </w:rPr>
  </w:style>
  <w:style w:type="character" w:styleId="FollowedHyperlink">
    <w:name w:val="FollowedHyperlink"/>
    <w:uiPriority w:val="41"/>
    <w:semiHidden/>
    <w:unhideWhenUsed/>
    <w:rsid w:val="00DB58D5"/>
    <w:rPr>
      <w:color w:val="auto"/>
      <w:u w:val="single"/>
    </w:rPr>
  </w:style>
  <w:style w:type="paragraph" w:styleId="BlockText">
    <w:name w:val="Block Text"/>
    <w:basedOn w:val="Normal"/>
    <w:uiPriority w:val="99"/>
    <w:semiHidden/>
    <w:rsid w:val="00E94DCD"/>
    <w:pPr>
      <w:ind w:left="1440" w:right="1440"/>
    </w:pPr>
  </w:style>
  <w:style w:type="paragraph" w:customStyle="1" w:styleId="BulletpointsEbene1">
    <w:name w:val="Bulletpoints Ebene 1"/>
    <w:basedOn w:val="Normal"/>
    <w:uiPriority w:val="99"/>
    <w:semiHidden/>
    <w:rsid w:val="00E94DCD"/>
    <w:pPr>
      <w:numPr>
        <w:numId w:val="1"/>
      </w:numPr>
      <w:tabs>
        <w:tab w:val="left" w:pos="454"/>
      </w:tabs>
      <w:spacing w:line="280" w:lineRule="atLeast"/>
    </w:pPr>
    <w:rPr>
      <w:rFonts w:eastAsia="Calibri" w:cs="Arial"/>
    </w:rPr>
  </w:style>
  <w:style w:type="paragraph" w:customStyle="1" w:styleId="BulletpointsEbene2">
    <w:name w:val="Bulletpoints Ebene 2"/>
    <w:basedOn w:val="Normal"/>
    <w:uiPriority w:val="99"/>
    <w:semiHidden/>
    <w:rsid w:val="00E94DCD"/>
    <w:pPr>
      <w:numPr>
        <w:ilvl w:val="1"/>
        <w:numId w:val="1"/>
      </w:numPr>
    </w:pPr>
    <w:rPr>
      <w:rFonts w:eastAsia="Calibri" w:cs="Arial"/>
    </w:rPr>
  </w:style>
  <w:style w:type="paragraph" w:styleId="DocumentMap">
    <w:name w:val="Document Map"/>
    <w:basedOn w:val="Normal"/>
    <w:link w:val="DocumentMapChar"/>
    <w:uiPriority w:val="99"/>
    <w:semiHidden/>
    <w:unhideWhenUsed/>
    <w:rsid w:val="00E94DCD"/>
    <w:pPr>
      <w:shd w:val="clear" w:color="auto" w:fill="000080"/>
    </w:pPr>
    <w:rPr>
      <w:rFonts w:ascii="Tahoma" w:hAnsi="Tahoma"/>
    </w:rPr>
  </w:style>
  <w:style w:type="character" w:customStyle="1" w:styleId="DocumentMapChar">
    <w:name w:val="Document Map Char"/>
    <w:link w:val="DocumentMap"/>
    <w:uiPriority w:val="99"/>
    <w:semiHidden/>
    <w:rsid w:val="00D44150"/>
    <w:rPr>
      <w:rFonts w:ascii="Tahoma" w:hAnsi="Tahoma" w:cs="Times New Roman"/>
      <w:sz w:val="20"/>
      <w:szCs w:val="20"/>
      <w:shd w:val="clear" w:color="auto" w:fill="000080"/>
    </w:rPr>
  </w:style>
  <w:style w:type="paragraph" w:styleId="Closing">
    <w:name w:val="Closing"/>
    <w:basedOn w:val="Normal"/>
    <w:link w:val="ClosingChar"/>
    <w:uiPriority w:val="99"/>
    <w:semiHidden/>
    <w:rsid w:val="00E94DCD"/>
  </w:style>
  <w:style w:type="character" w:customStyle="1" w:styleId="ClosingChar">
    <w:name w:val="Closing Char"/>
    <w:link w:val="Closing"/>
    <w:uiPriority w:val="99"/>
    <w:semiHidden/>
    <w:rsid w:val="00D44150"/>
    <w:rPr>
      <w:rFonts w:ascii="Arial Narrow" w:hAnsi="Arial Narrow" w:cs="Times New Roman"/>
    </w:rPr>
  </w:style>
  <w:style w:type="character" w:styleId="Emphasis">
    <w:name w:val="Emphasis"/>
    <w:uiPriority w:val="50"/>
    <w:qFormat/>
    <w:rsid w:val="001665A6"/>
    <w:rPr>
      <w:rFonts w:asciiTheme="majorHAnsi" w:hAnsiTheme="majorHAnsi"/>
      <w:b w:val="0"/>
      <w:iCs/>
      <w:color w:val="66CC33" w:themeColor="accent1"/>
    </w:rPr>
  </w:style>
  <w:style w:type="paragraph" w:styleId="HTMLAddress">
    <w:name w:val="HTML Address"/>
    <w:basedOn w:val="Normal"/>
    <w:link w:val="HTMLAddressChar"/>
    <w:uiPriority w:val="99"/>
    <w:semiHidden/>
    <w:rsid w:val="00E94DCD"/>
    <w:rPr>
      <w:i/>
      <w:iCs/>
    </w:rPr>
  </w:style>
  <w:style w:type="character" w:customStyle="1" w:styleId="HTMLAddressChar">
    <w:name w:val="HTML Address Char"/>
    <w:link w:val="HTMLAddress"/>
    <w:uiPriority w:val="99"/>
    <w:semiHidden/>
    <w:rsid w:val="00D44150"/>
    <w:rPr>
      <w:rFonts w:ascii="Arial Narrow" w:hAnsi="Arial Narrow" w:cs="Times New Roman"/>
      <w:i/>
      <w:iCs/>
    </w:rPr>
  </w:style>
  <w:style w:type="character" w:styleId="HTMLAcronym">
    <w:name w:val="HTML Acronym"/>
    <w:basedOn w:val="DefaultParagraphFont"/>
    <w:uiPriority w:val="99"/>
    <w:semiHidden/>
    <w:rsid w:val="00E94DCD"/>
  </w:style>
  <w:style w:type="character" w:styleId="HTMLSample">
    <w:name w:val="HTML Sample"/>
    <w:uiPriority w:val="99"/>
    <w:semiHidden/>
    <w:rsid w:val="00E94DCD"/>
    <w:rPr>
      <w:rFonts w:ascii="Courier New" w:hAnsi="Courier New"/>
    </w:rPr>
  </w:style>
  <w:style w:type="character" w:styleId="HTMLCode">
    <w:name w:val="HTML Code"/>
    <w:uiPriority w:val="99"/>
    <w:semiHidden/>
    <w:rsid w:val="00E94DCD"/>
    <w:rPr>
      <w:rFonts w:ascii="Courier New" w:hAnsi="Courier New"/>
      <w:sz w:val="20"/>
      <w:szCs w:val="20"/>
    </w:rPr>
  </w:style>
  <w:style w:type="character" w:styleId="HTMLDefinition">
    <w:name w:val="HTML Definition"/>
    <w:uiPriority w:val="99"/>
    <w:semiHidden/>
    <w:rsid w:val="00E94DCD"/>
    <w:rPr>
      <w:i/>
      <w:iCs/>
    </w:rPr>
  </w:style>
  <w:style w:type="character" w:styleId="HTMLTypewriter">
    <w:name w:val="HTML Typewriter"/>
    <w:uiPriority w:val="99"/>
    <w:semiHidden/>
    <w:rsid w:val="00E94DCD"/>
    <w:rPr>
      <w:rFonts w:ascii="Courier New" w:hAnsi="Courier New"/>
      <w:sz w:val="20"/>
      <w:szCs w:val="20"/>
    </w:rPr>
  </w:style>
  <w:style w:type="character" w:styleId="HTMLKeyboard">
    <w:name w:val="HTML Keyboard"/>
    <w:uiPriority w:val="99"/>
    <w:semiHidden/>
    <w:rsid w:val="00E94DCD"/>
    <w:rPr>
      <w:rFonts w:ascii="Courier New" w:hAnsi="Courier New"/>
      <w:sz w:val="20"/>
      <w:szCs w:val="20"/>
    </w:rPr>
  </w:style>
  <w:style w:type="character" w:styleId="HTMLVariable">
    <w:name w:val="HTML Variable"/>
    <w:uiPriority w:val="99"/>
    <w:semiHidden/>
    <w:rsid w:val="00E94DCD"/>
    <w:rPr>
      <w:i/>
      <w:iCs/>
    </w:rPr>
  </w:style>
  <w:style w:type="paragraph" w:styleId="HTMLPreformatted">
    <w:name w:val="HTML Preformatted"/>
    <w:basedOn w:val="Normal"/>
    <w:link w:val="HTMLPreformattedChar"/>
    <w:uiPriority w:val="99"/>
    <w:semiHidden/>
    <w:rsid w:val="00E94DCD"/>
    <w:rPr>
      <w:rFonts w:ascii="Courier New" w:hAnsi="Courier New"/>
    </w:rPr>
  </w:style>
  <w:style w:type="character" w:customStyle="1" w:styleId="HTMLPreformattedChar">
    <w:name w:val="HTML Preformatted Char"/>
    <w:link w:val="HTMLPreformatted"/>
    <w:uiPriority w:val="99"/>
    <w:semiHidden/>
    <w:rsid w:val="00D44150"/>
    <w:rPr>
      <w:rFonts w:ascii="Courier New" w:hAnsi="Courier New" w:cs="Times New Roman"/>
      <w:sz w:val="20"/>
      <w:szCs w:val="20"/>
    </w:rPr>
  </w:style>
  <w:style w:type="character" w:styleId="HTMLCite">
    <w:name w:val="HTML Cite"/>
    <w:uiPriority w:val="99"/>
    <w:semiHidden/>
    <w:rsid w:val="00E94DCD"/>
    <w:rPr>
      <w:i/>
      <w:iCs/>
    </w:rPr>
  </w:style>
  <w:style w:type="character" w:styleId="Hyperlink">
    <w:name w:val="Hyperlink"/>
    <w:uiPriority w:val="99"/>
    <w:unhideWhenUsed/>
    <w:rsid w:val="00DB58D5"/>
    <w:rPr>
      <w:color w:val="auto"/>
      <w:u w:val="single"/>
    </w:rPr>
  </w:style>
  <w:style w:type="paragraph" w:styleId="Index1">
    <w:name w:val="index 1"/>
    <w:basedOn w:val="Normal"/>
    <w:next w:val="Normal"/>
    <w:autoRedefine/>
    <w:uiPriority w:val="99"/>
    <w:semiHidden/>
    <w:rsid w:val="00E94DCD"/>
    <w:pPr>
      <w:ind w:left="180" w:hanging="180"/>
    </w:pPr>
  </w:style>
  <w:style w:type="paragraph" w:styleId="IndexHeading">
    <w:name w:val="index heading"/>
    <w:basedOn w:val="Normal"/>
    <w:next w:val="Index1"/>
    <w:uiPriority w:val="32"/>
    <w:semiHidden/>
    <w:unhideWhenUsed/>
    <w:rsid w:val="00E94DCD"/>
    <w:rPr>
      <w:b/>
      <w:bCs/>
    </w:rPr>
  </w:style>
  <w:style w:type="paragraph" w:styleId="MessageHeader">
    <w:name w:val="Message Header"/>
    <w:basedOn w:val="Normal"/>
    <w:link w:val="MessageHeaderChar"/>
    <w:uiPriority w:val="99"/>
    <w:semiHidden/>
    <w:rsid w:val="00E94DC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character" w:customStyle="1" w:styleId="MessageHeaderChar">
    <w:name w:val="Message Header Char"/>
    <w:link w:val="MessageHeader"/>
    <w:uiPriority w:val="99"/>
    <w:semiHidden/>
    <w:rsid w:val="00D44150"/>
    <w:rPr>
      <w:rFonts w:ascii="Arial Narrow" w:hAnsi="Arial Narrow" w:cs="Times New Roman"/>
      <w:sz w:val="24"/>
      <w:shd w:val="pct20" w:color="auto" w:fill="auto"/>
    </w:rPr>
  </w:style>
  <w:style w:type="character" w:styleId="SubtleEmphasis">
    <w:name w:val="Subtle Emphasis"/>
    <w:uiPriority w:val="99"/>
    <w:semiHidden/>
    <w:qFormat/>
    <w:rsid w:val="00703360"/>
    <w:rPr>
      <w:b/>
      <w:iCs/>
      <w:color w:val="auto"/>
    </w:rPr>
  </w:style>
  <w:style w:type="character" w:styleId="SubtleReference">
    <w:name w:val="Subtle Reference"/>
    <w:uiPriority w:val="99"/>
    <w:semiHidden/>
    <w:qFormat/>
    <w:rsid w:val="00E94DCD"/>
    <w:rPr>
      <w:color w:val="auto"/>
      <w:u w:val="single"/>
    </w:rPr>
  </w:style>
  <w:style w:type="paragraph" w:styleId="NormalWeb">
    <w:name w:val="Normal (Web)"/>
    <w:basedOn w:val="Normal"/>
    <w:uiPriority w:val="99"/>
    <w:semiHidden/>
    <w:unhideWhenUsed/>
    <w:rsid w:val="00DB58D5"/>
    <w:pPr>
      <w:spacing w:before="100" w:beforeAutospacing="1" w:after="100" w:afterAutospacing="1" w:line="240" w:lineRule="auto"/>
    </w:pPr>
    <w:rPr>
      <w:rFonts w:ascii="Times New Roman" w:hAnsi="Times New Roman"/>
      <w:sz w:val="24"/>
      <w:szCs w:val="24"/>
      <w:lang w:eastAsia="de-CH"/>
    </w:rPr>
  </w:style>
  <w:style w:type="paragraph" w:styleId="NormalIndent">
    <w:name w:val="Normal Indent"/>
    <w:basedOn w:val="Normal"/>
    <w:uiPriority w:val="99"/>
    <w:semiHidden/>
    <w:rsid w:val="00E94DCD"/>
    <w:pPr>
      <w:ind w:left="454"/>
    </w:pPr>
  </w:style>
  <w:style w:type="table" w:styleId="Table3Deffects1">
    <w:name w:val="Table 3D effects 1"/>
    <w:basedOn w:val="TableNormal"/>
    <w:semiHidden/>
    <w:rsid w:val="00E94DCD"/>
    <w:rPr>
      <w:rFonts w:ascii="Arial" w:hAnsi="Arial"/>
      <w:lang w:eastAsia="de-CH"/>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E94DCD"/>
    <w:rPr>
      <w:rFonts w:ascii="Arial" w:hAnsi="Arial"/>
      <w:lang w:eastAsia="de-CH"/>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E94DCD"/>
    <w:rPr>
      <w:rFonts w:ascii="Arial" w:hAnsi="Arial"/>
      <w:lang w:eastAsia="de-CH"/>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rsid w:val="00E94DCD"/>
    <w:rPr>
      <w:rFonts w:ascii="Arial" w:hAnsi="Arial"/>
      <w:lang w:eastAsia="de-CH"/>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E94DCD"/>
    <w:rPr>
      <w:rFonts w:ascii="Arial" w:hAnsi="Arial"/>
      <w:lang w:eastAsia="de-CH"/>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E94DCD"/>
    <w:rPr>
      <w:rFonts w:ascii="Arial" w:hAnsi="Arial"/>
      <w:color w:val="FFFFFF"/>
      <w:lang w:eastAsia="de-CH"/>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E94DCD"/>
    <w:rPr>
      <w:rFonts w:ascii="Arial" w:hAnsi="Arial"/>
      <w:lang w:eastAsia="de-CH"/>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E94DCD"/>
    <w:rPr>
      <w:rFonts w:ascii="Arial" w:hAnsi="Arial"/>
      <w:lang w:eastAsia="de-CH"/>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E94DCD"/>
    <w:rPr>
      <w:rFonts w:ascii="Arial" w:hAnsi="Arial"/>
      <w:lang w:eastAsia="de-CH"/>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E94DCD"/>
    <w:rPr>
      <w:rFonts w:ascii="Arial" w:hAnsi="Arial"/>
      <w:lang w:eastAsia="de-CH"/>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E94DCD"/>
    <w:rPr>
      <w:rFonts w:ascii="Arial" w:hAnsi="Arial"/>
      <w:color w:val="000080"/>
      <w:lang w:eastAsia="de-CH"/>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E94DCD"/>
    <w:rPr>
      <w:rFonts w:ascii="Arial" w:hAnsi="Arial"/>
      <w:lang w:eastAsia="de-CH"/>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Grid">
    <w:name w:val="Table Grid"/>
    <w:basedOn w:val="TableNormal"/>
    <w:uiPriority w:val="59"/>
    <w:rsid w:val="00DB58D5"/>
    <w:rPr>
      <w:lang w:eastAsia="de-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
    <w:semiHidden/>
    <w:unhideWhenUsed/>
    <w:qFormat/>
    <w:rsid w:val="00E94DCD"/>
    <w:pPr>
      <w:spacing w:after="240" w:line="400" w:lineRule="atLeast"/>
      <w:contextualSpacing/>
      <w:outlineLvl w:val="0"/>
    </w:pPr>
    <w:rPr>
      <w:rFonts w:ascii="Arial Fett" w:hAnsi="Arial Fett"/>
      <w:b/>
      <w:bCs/>
      <w:smallCaps/>
      <w:sz w:val="32"/>
      <w:szCs w:val="32"/>
    </w:rPr>
  </w:style>
  <w:style w:type="character" w:customStyle="1" w:styleId="TitleChar">
    <w:name w:val="Title Char"/>
    <w:link w:val="Title"/>
    <w:uiPriority w:val="1"/>
    <w:semiHidden/>
    <w:rsid w:val="001E1FA7"/>
    <w:rPr>
      <w:rFonts w:ascii="Arial Fett" w:hAnsi="Arial Fett" w:cs="Times New Roman"/>
      <w:b/>
      <w:bCs/>
      <w:smallCaps/>
      <w:sz w:val="32"/>
      <w:szCs w:val="32"/>
    </w:rPr>
  </w:style>
  <w:style w:type="character" w:customStyle="1" w:styleId="Heading1Char">
    <w:name w:val="Heading 1 Char"/>
    <w:link w:val="Heading1"/>
    <w:uiPriority w:val="19"/>
    <w:rsid w:val="002779AB"/>
    <w:rPr>
      <w:rFonts w:asciiTheme="majorHAnsi" w:hAnsiTheme="majorHAnsi" w:cs="Arial"/>
      <w:bCs/>
      <w:sz w:val="28"/>
      <w:szCs w:val="28"/>
      <w:lang w:eastAsia="de-DE"/>
    </w:rPr>
  </w:style>
  <w:style w:type="character" w:customStyle="1" w:styleId="Heading2Char">
    <w:name w:val="Heading 2 Char"/>
    <w:link w:val="Heading2"/>
    <w:uiPriority w:val="19"/>
    <w:rsid w:val="002779AB"/>
    <w:rPr>
      <w:rFonts w:asciiTheme="majorHAnsi" w:hAnsiTheme="majorHAnsi" w:cs="Arial"/>
      <w:bCs/>
      <w:sz w:val="24"/>
      <w:szCs w:val="24"/>
      <w:lang w:eastAsia="de-DE"/>
    </w:rPr>
  </w:style>
  <w:style w:type="character" w:customStyle="1" w:styleId="Heading3Char">
    <w:name w:val="Heading 3 Char"/>
    <w:link w:val="Heading3"/>
    <w:uiPriority w:val="19"/>
    <w:rsid w:val="002779AB"/>
    <w:rPr>
      <w:rFonts w:asciiTheme="majorHAnsi" w:hAnsiTheme="majorHAnsi" w:cs="Arial"/>
      <w:szCs w:val="18"/>
      <w:lang w:eastAsia="de-DE"/>
    </w:rPr>
  </w:style>
  <w:style w:type="character" w:customStyle="1" w:styleId="Heading4Char">
    <w:name w:val="Heading 4 Char"/>
    <w:link w:val="Heading4"/>
    <w:uiPriority w:val="19"/>
    <w:rsid w:val="009E5A33"/>
    <w:rPr>
      <w:rFonts w:cs="Arial"/>
      <w:szCs w:val="18"/>
      <w:lang w:eastAsia="de-DE"/>
    </w:rPr>
  </w:style>
  <w:style w:type="character" w:customStyle="1" w:styleId="Heading5Char">
    <w:name w:val="Heading 5 Char"/>
    <w:link w:val="Heading5"/>
    <w:uiPriority w:val="19"/>
    <w:rsid w:val="000B2869"/>
    <w:rPr>
      <w:rFonts w:cs="Arial"/>
      <w:szCs w:val="18"/>
      <w:lang w:eastAsia="de-DE"/>
    </w:rPr>
  </w:style>
  <w:style w:type="character" w:customStyle="1" w:styleId="Heading6Char">
    <w:name w:val="Heading 6 Char"/>
    <w:link w:val="Heading6"/>
    <w:uiPriority w:val="19"/>
    <w:semiHidden/>
    <w:rsid w:val="001E1FA7"/>
    <w:rPr>
      <w:bCs/>
      <w:sz w:val="18"/>
      <w:lang w:eastAsia="de-DE"/>
    </w:rPr>
  </w:style>
  <w:style w:type="character" w:customStyle="1" w:styleId="Heading7Char">
    <w:name w:val="Heading 7 Char"/>
    <w:link w:val="Heading7"/>
    <w:uiPriority w:val="19"/>
    <w:semiHidden/>
    <w:rsid w:val="001E1FA7"/>
    <w:rPr>
      <w:sz w:val="18"/>
      <w:szCs w:val="24"/>
      <w:lang w:eastAsia="de-DE"/>
    </w:rPr>
  </w:style>
  <w:style w:type="character" w:customStyle="1" w:styleId="Heading8Char">
    <w:name w:val="Heading 8 Char"/>
    <w:link w:val="Heading8"/>
    <w:uiPriority w:val="19"/>
    <w:semiHidden/>
    <w:rsid w:val="001E1FA7"/>
    <w:rPr>
      <w:iCs/>
      <w:sz w:val="18"/>
      <w:szCs w:val="24"/>
      <w:lang w:eastAsia="de-DE"/>
    </w:rPr>
  </w:style>
  <w:style w:type="character" w:customStyle="1" w:styleId="Heading9Char">
    <w:name w:val="Heading 9 Char"/>
    <w:link w:val="Heading9"/>
    <w:uiPriority w:val="19"/>
    <w:semiHidden/>
    <w:rsid w:val="001E1FA7"/>
    <w:rPr>
      <w:sz w:val="18"/>
      <w:lang w:eastAsia="de-DE"/>
    </w:rPr>
  </w:style>
  <w:style w:type="paragraph" w:styleId="Subtitle">
    <w:name w:val="Subtitle"/>
    <w:basedOn w:val="Normal"/>
    <w:next w:val="Normal"/>
    <w:link w:val="SubtitleChar"/>
    <w:uiPriority w:val="2"/>
    <w:semiHidden/>
    <w:qFormat/>
    <w:rsid w:val="00E94DCD"/>
    <w:pPr>
      <w:spacing w:after="60"/>
      <w:contextualSpacing/>
      <w:outlineLvl w:val="1"/>
    </w:pPr>
    <w:rPr>
      <w:sz w:val="24"/>
    </w:rPr>
  </w:style>
  <w:style w:type="character" w:customStyle="1" w:styleId="SubtitleChar">
    <w:name w:val="Subtitle Char"/>
    <w:link w:val="Subtitle"/>
    <w:uiPriority w:val="2"/>
    <w:semiHidden/>
    <w:rsid w:val="001E1FA7"/>
    <w:rPr>
      <w:rFonts w:ascii="Arial Narrow" w:hAnsi="Arial Narrow" w:cs="Times New Roman"/>
      <w:sz w:val="24"/>
    </w:rPr>
  </w:style>
  <w:style w:type="paragraph" w:styleId="TOC1">
    <w:name w:val="toc 1"/>
    <w:basedOn w:val="Normal"/>
    <w:next w:val="Normal"/>
    <w:uiPriority w:val="39"/>
    <w:unhideWhenUsed/>
    <w:rsid w:val="00A32015"/>
    <w:pPr>
      <w:ind w:left="454" w:right="284" w:hanging="454"/>
    </w:pPr>
    <w:rPr>
      <w:rFonts w:asciiTheme="majorHAnsi" w:hAnsiTheme="majorHAnsi"/>
    </w:rPr>
  </w:style>
  <w:style w:type="paragraph" w:styleId="TOC2">
    <w:name w:val="toc 2"/>
    <w:basedOn w:val="Normal"/>
    <w:next w:val="Normal"/>
    <w:uiPriority w:val="39"/>
    <w:unhideWhenUsed/>
    <w:rsid w:val="00A32015"/>
    <w:pPr>
      <w:ind w:left="1134" w:right="284" w:hanging="680"/>
    </w:pPr>
  </w:style>
  <w:style w:type="paragraph" w:styleId="TOC3">
    <w:name w:val="toc 3"/>
    <w:basedOn w:val="Normal"/>
    <w:next w:val="Normal"/>
    <w:uiPriority w:val="39"/>
    <w:unhideWhenUsed/>
    <w:rsid w:val="00A32015"/>
    <w:pPr>
      <w:ind w:left="1134" w:right="284" w:hanging="680"/>
    </w:pPr>
  </w:style>
  <w:style w:type="paragraph" w:styleId="TOC4">
    <w:name w:val="toc 4"/>
    <w:basedOn w:val="Normal"/>
    <w:next w:val="Normal"/>
    <w:autoRedefine/>
    <w:uiPriority w:val="30"/>
    <w:semiHidden/>
    <w:rsid w:val="00DB58D5"/>
    <w:pPr>
      <w:ind w:left="737" w:hanging="737"/>
    </w:pPr>
  </w:style>
  <w:style w:type="paragraph" w:styleId="TOC5">
    <w:name w:val="toc 5"/>
    <w:basedOn w:val="Normal"/>
    <w:next w:val="Normal"/>
    <w:autoRedefine/>
    <w:uiPriority w:val="30"/>
    <w:semiHidden/>
    <w:rsid w:val="00DB58D5"/>
    <w:pPr>
      <w:ind w:left="1009" w:hanging="1009"/>
    </w:pPr>
  </w:style>
  <w:style w:type="paragraph" w:styleId="TOC6">
    <w:name w:val="toc 6"/>
    <w:basedOn w:val="Normal"/>
    <w:next w:val="Normal"/>
    <w:autoRedefine/>
    <w:uiPriority w:val="30"/>
    <w:semiHidden/>
    <w:rsid w:val="00DB58D5"/>
    <w:pPr>
      <w:ind w:left="1151" w:hanging="1151"/>
    </w:pPr>
  </w:style>
  <w:style w:type="paragraph" w:styleId="TOC7">
    <w:name w:val="toc 7"/>
    <w:basedOn w:val="Normal"/>
    <w:next w:val="Normal"/>
    <w:autoRedefine/>
    <w:uiPriority w:val="30"/>
    <w:semiHidden/>
    <w:rsid w:val="00DB58D5"/>
    <w:pPr>
      <w:ind w:left="1298" w:hanging="1298"/>
    </w:pPr>
  </w:style>
  <w:style w:type="paragraph" w:styleId="TOC8">
    <w:name w:val="toc 8"/>
    <w:basedOn w:val="Normal"/>
    <w:next w:val="Normal"/>
    <w:autoRedefine/>
    <w:uiPriority w:val="30"/>
    <w:semiHidden/>
    <w:rsid w:val="00DB58D5"/>
    <w:pPr>
      <w:ind w:left="1440" w:hanging="1440"/>
    </w:pPr>
  </w:style>
  <w:style w:type="paragraph" w:styleId="TOC9">
    <w:name w:val="toc 9"/>
    <w:basedOn w:val="Normal"/>
    <w:next w:val="Normal"/>
    <w:autoRedefine/>
    <w:uiPriority w:val="30"/>
    <w:semiHidden/>
    <w:rsid w:val="00DB58D5"/>
    <w:pPr>
      <w:ind w:left="1582" w:hanging="1582"/>
    </w:pPr>
  </w:style>
  <w:style w:type="character" w:styleId="IntenseEmphasis">
    <w:name w:val="Intense Emphasis"/>
    <w:uiPriority w:val="50"/>
    <w:qFormat/>
    <w:rsid w:val="001665A6"/>
    <w:rPr>
      <w:rFonts w:asciiTheme="majorHAnsi" w:hAnsiTheme="majorHAnsi"/>
      <w:b w:val="0"/>
      <w:bCs/>
      <w:iCs/>
      <w:caps/>
      <w:color w:val="66CC33" w:themeColor="accent1"/>
    </w:rPr>
  </w:style>
  <w:style w:type="paragraph" w:styleId="ListParagraph">
    <w:name w:val="List Paragraph"/>
    <w:basedOn w:val="Normal"/>
    <w:uiPriority w:val="99"/>
    <w:semiHidden/>
    <w:unhideWhenUsed/>
    <w:rsid w:val="00DB58D5"/>
    <w:pPr>
      <w:ind w:left="720"/>
      <w:contextualSpacing/>
    </w:pPr>
  </w:style>
  <w:style w:type="paragraph" w:styleId="ListContinue">
    <w:name w:val="List Continue"/>
    <w:basedOn w:val="Normal"/>
    <w:uiPriority w:val="99"/>
    <w:semiHidden/>
    <w:unhideWhenUsed/>
    <w:rsid w:val="003E3705"/>
    <w:pPr>
      <w:spacing w:line="270" w:lineRule="atLeast"/>
      <w:ind w:left="1191" w:right="2552" w:hanging="794"/>
      <w:contextualSpacing/>
    </w:pPr>
    <w:rPr>
      <w:rFonts w:ascii="ATP Univers" w:hAnsi="ATP Univers"/>
      <w:lang w:val="de-DE"/>
    </w:rPr>
  </w:style>
  <w:style w:type="paragraph" w:styleId="ListContinue2">
    <w:name w:val="List Continue 2"/>
    <w:basedOn w:val="Normal"/>
    <w:uiPriority w:val="99"/>
    <w:semiHidden/>
    <w:unhideWhenUsed/>
    <w:rsid w:val="003E3705"/>
    <w:pPr>
      <w:tabs>
        <w:tab w:val="left" w:pos="397"/>
      </w:tabs>
      <w:spacing w:line="270" w:lineRule="atLeast"/>
      <w:ind w:left="1985" w:right="2552" w:hanging="1191"/>
      <w:contextualSpacing/>
    </w:pPr>
    <w:rPr>
      <w:rFonts w:ascii="ATP Univers" w:hAnsi="ATP Univers"/>
      <w:lang w:val="de-DE"/>
    </w:rPr>
  </w:style>
  <w:style w:type="paragraph" w:customStyle="1" w:styleId="FusszeilePfad">
    <w:name w:val="Fusszeile Pfad"/>
    <w:basedOn w:val="Footer"/>
    <w:uiPriority w:val="9"/>
    <w:rsid w:val="00DB58D5"/>
    <w:pPr>
      <w:jc w:val="center"/>
    </w:pPr>
  </w:style>
  <w:style w:type="paragraph" w:customStyle="1" w:styleId="BulletpointsLevel1">
    <w:name w:val="Bulletpoints Level 1"/>
    <w:basedOn w:val="Normal"/>
    <w:uiPriority w:val="3"/>
    <w:qFormat/>
    <w:rsid w:val="00E37B1D"/>
    <w:pPr>
      <w:numPr>
        <w:numId w:val="5"/>
      </w:numPr>
      <w:tabs>
        <w:tab w:val="right" w:pos="454"/>
      </w:tabs>
      <w:spacing w:before="60"/>
    </w:pPr>
  </w:style>
  <w:style w:type="paragraph" w:customStyle="1" w:styleId="BulletpointsLevel2">
    <w:name w:val="Bulletpoints Level 2"/>
    <w:basedOn w:val="Normal"/>
    <w:uiPriority w:val="4"/>
    <w:qFormat/>
    <w:rsid w:val="00DB58D5"/>
    <w:pPr>
      <w:numPr>
        <w:ilvl w:val="1"/>
        <w:numId w:val="5"/>
      </w:numPr>
    </w:pPr>
  </w:style>
  <w:style w:type="paragraph" w:customStyle="1" w:styleId="Lettering">
    <w:name w:val="Lettering"/>
    <w:basedOn w:val="Normal"/>
    <w:uiPriority w:val="5"/>
    <w:qFormat/>
    <w:rsid w:val="00DB58D5"/>
    <w:pPr>
      <w:numPr>
        <w:numId w:val="11"/>
      </w:numPr>
      <w:spacing w:before="60"/>
    </w:pPr>
  </w:style>
  <w:style w:type="paragraph" w:customStyle="1" w:styleId="noBulletpoint">
    <w:name w:val="noBulletpoint"/>
    <w:basedOn w:val="Normal"/>
    <w:uiPriority w:val="4"/>
    <w:qFormat/>
    <w:rsid w:val="00DB58D5"/>
    <w:pPr>
      <w:numPr>
        <w:ilvl w:val="2"/>
        <w:numId w:val="5"/>
      </w:numPr>
      <w:spacing w:before="60"/>
    </w:pPr>
  </w:style>
  <w:style w:type="paragraph" w:customStyle="1" w:styleId="Numbering">
    <w:name w:val="Numbering"/>
    <w:basedOn w:val="Normal"/>
    <w:uiPriority w:val="6"/>
    <w:qFormat/>
    <w:rsid w:val="00DB58D5"/>
    <w:pPr>
      <w:numPr>
        <w:numId w:val="10"/>
      </w:numPr>
      <w:spacing w:before="60"/>
    </w:pPr>
  </w:style>
  <w:style w:type="paragraph" w:customStyle="1" w:styleId="SensirionSubtitle">
    <w:name w:val="Sensirion Subtitle"/>
    <w:basedOn w:val="Normal"/>
    <w:uiPriority w:val="2"/>
    <w:qFormat/>
    <w:rsid w:val="002779AB"/>
    <w:pPr>
      <w:spacing w:line="260" w:lineRule="exact"/>
      <w:contextualSpacing/>
    </w:pPr>
    <w:rPr>
      <w:rFonts w:asciiTheme="majorHAnsi" w:hAnsiTheme="majorHAnsi"/>
      <w:lang w:eastAsia="de-DE"/>
    </w:rPr>
  </w:style>
  <w:style w:type="paragraph" w:customStyle="1" w:styleId="SensirionTitle">
    <w:name w:val="Sensirion Title"/>
    <w:basedOn w:val="Normal"/>
    <w:uiPriority w:val="1"/>
    <w:qFormat/>
    <w:rsid w:val="002779AB"/>
    <w:pPr>
      <w:spacing w:line="320" w:lineRule="exact"/>
      <w:contextualSpacing/>
    </w:pPr>
    <w:rPr>
      <w:rFonts w:asciiTheme="majorHAnsi" w:hAnsiTheme="majorHAnsi"/>
      <w:sz w:val="28"/>
    </w:rPr>
  </w:style>
  <w:style w:type="paragraph" w:customStyle="1" w:styleId="Marginale">
    <w:name w:val="Marginale"/>
    <w:basedOn w:val="Normal"/>
    <w:uiPriority w:val="7"/>
    <w:qFormat/>
    <w:rsid w:val="001665A6"/>
    <w:pPr>
      <w:framePr w:w="2268" w:hSpace="567" w:wrap="around" w:vAnchor="text" w:hAnchor="text" w:xAlign="right" w:y="1"/>
    </w:pPr>
    <w:rPr>
      <w:color w:val="66CC33" w:themeColor="accent1"/>
    </w:rPr>
  </w:style>
  <w:style w:type="paragraph" w:customStyle="1" w:styleId="MarginaleText">
    <w:name w:val="Marginale Text"/>
    <w:basedOn w:val="Normal"/>
    <w:uiPriority w:val="8"/>
    <w:qFormat/>
    <w:rsid w:val="00DB58D5"/>
    <w:pPr>
      <w:ind w:right="2835"/>
    </w:pPr>
  </w:style>
  <w:style w:type="paragraph" w:styleId="TableofFigures">
    <w:name w:val="table of figures"/>
    <w:basedOn w:val="Normal"/>
    <w:next w:val="Normal"/>
    <w:uiPriority w:val="99"/>
    <w:unhideWhenUsed/>
    <w:rsid w:val="00DB58D5"/>
    <w:pPr>
      <w:ind w:right="284"/>
    </w:pPr>
  </w:style>
  <w:style w:type="paragraph" w:styleId="Quote">
    <w:name w:val="Quote"/>
    <w:basedOn w:val="Normal"/>
    <w:next w:val="Normal"/>
    <w:link w:val="QuoteChar"/>
    <w:uiPriority w:val="99"/>
    <w:semiHidden/>
    <w:rsid w:val="00DB58D5"/>
    <w:rPr>
      <w:i/>
      <w:iCs/>
      <w:color w:val="000000"/>
    </w:rPr>
  </w:style>
  <w:style w:type="character" w:customStyle="1" w:styleId="QuoteChar">
    <w:name w:val="Quote Char"/>
    <w:link w:val="Quote"/>
    <w:uiPriority w:val="99"/>
    <w:semiHidden/>
    <w:rsid w:val="00D44150"/>
    <w:rPr>
      <w:rFonts w:ascii="Arial Narrow" w:hAnsi="Arial Narrow" w:cs="Times New Roman"/>
      <w:i/>
      <w:iCs/>
      <w:color w:val="000000"/>
    </w:rPr>
  </w:style>
  <w:style w:type="paragraph" w:styleId="EndnoteText">
    <w:name w:val="endnote text"/>
    <w:basedOn w:val="Normal"/>
    <w:link w:val="EndnoteTextChar"/>
    <w:uiPriority w:val="49"/>
    <w:semiHidden/>
    <w:unhideWhenUsed/>
    <w:rsid w:val="00DB58D5"/>
  </w:style>
  <w:style w:type="character" w:customStyle="1" w:styleId="EndnoteTextChar">
    <w:name w:val="Endnote Text Char"/>
    <w:link w:val="EndnoteText"/>
    <w:uiPriority w:val="49"/>
    <w:semiHidden/>
    <w:rsid w:val="001E1FA7"/>
    <w:rPr>
      <w:rFonts w:ascii="Arial Narrow" w:hAnsi="Arial Narrow" w:cs="Times New Roman"/>
      <w:sz w:val="20"/>
    </w:rPr>
  </w:style>
  <w:style w:type="character" w:styleId="EndnoteReference">
    <w:name w:val="endnote reference"/>
    <w:uiPriority w:val="49"/>
    <w:semiHidden/>
    <w:unhideWhenUsed/>
    <w:rsid w:val="00DB58D5"/>
    <w:rPr>
      <w:color w:val="auto"/>
      <w:vertAlign w:val="superscript"/>
    </w:rPr>
  </w:style>
  <w:style w:type="paragraph" w:styleId="FootnoteText">
    <w:name w:val="footnote text"/>
    <w:basedOn w:val="Normal"/>
    <w:link w:val="FootnoteTextChar"/>
    <w:uiPriority w:val="49"/>
    <w:semiHidden/>
    <w:unhideWhenUsed/>
    <w:rsid w:val="00DB58D5"/>
  </w:style>
  <w:style w:type="character" w:customStyle="1" w:styleId="FootnoteTextChar">
    <w:name w:val="Footnote Text Char"/>
    <w:link w:val="FootnoteText"/>
    <w:uiPriority w:val="49"/>
    <w:semiHidden/>
    <w:rsid w:val="001E1FA7"/>
    <w:rPr>
      <w:rFonts w:ascii="Arial Narrow" w:hAnsi="Arial Narrow" w:cs="Times New Roman"/>
      <w:sz w:val="20"/>
    </w:rPr>
  </w:style>
  <w:style w:type="character" w:styleId="FootnoteReference">
    <w:name w:val="footnote reference"/>
    <w:uiPriority w:val="49"/>
    <w:semiHidden/>
    <w:unhideWhenUsed/>
    <w:rsid w:val="00DB58D5"/>
    <w:rPr>
      <w:color w:val="auto"/>
      <w:vertAlign w:val="superscript"/>
    </w:rPr>
  </w:style>
  <w:style w:type="table" w:styleId="LightShading-Accent2">
    <w:name w:val="Light Shading Accent 2"/>
    <w:aliases w:val="SEN: Tabelle warm grey"/>
    <w:basedOn w:val="TableNormal"/>
    <w:uiPriority w:val="60"/>
    <w:rsid w:val="00DB58D5"/>
    <w:rPr>
      <w:lang w:eastAsia="de-CH"/>
    </w:rPr>
    <w:tblPr>
      <w:tblStyleRowBandSize w:val="1"/>
      <w:tblStyleColBandSize w:val="1"/>
      <w:tblBorders>
        <w:top w:val="single" w:sz="8" w:space="0" w:color="C8BBBB"/>
        <w:bottom w:val="single" w:sz="8" w:space="0" w:color="C8BBBB"/>
      </w:tblBorders>
      <w:tblCellMar>
        <w:top w:w="28" w:type="dxa"/>
        <w:left w:w="0" w:type="dxa"/>
        <w:bottom w:w="28" w:type="dxa"/>
        <w:right w:w="0" w:type="dxa"/>
      </w:tblCellMar>
    </w:tblPr>
    <w:tblStylePr w:type="firstRow">
      <w:pPr>
        <w:spacing w:before="0" w:after="0" w:line="240" w:lineRule="auto"/>
      </w:pPr>
      <w:rPr>
        <w:b/>
        <w:bCs/>
      </w:rPr>
      <w:tblPr/>
      <w:tcPr>
        <w:tcBorders>
          <w:top w:val="single" w:sz="8" w:space="0" w:color="C8BBBB"/>
          <w:left w:val="nil"/>
          <w:bottom w:val="single" w:sz="8" w:space="0" w:color="C8BBBB"/>
          <w:right w:val="nil"/>
          <w:insideH w:val="nil"/>
          <w:insideV w:val="nil"/>
        </w:tcBorders>
      </w:tcPr>
    </w:tblStylePr>
    <w:tblStylePr w:type="lastRow">
      <w:pPr>
        <w:spacing w:before="0" w:after="0" w:line="240" w:lineRule="auto"/>
      </w:pPr>
      <w:rPr>
        <w:b w:val="0"/>
        <w:bCs/>
      </w:rPr>
      <w:tblPr/>
      <w:tcPr>
        <w:tcBorders>
          <w:top w:val="nil"/>
          <w:left w:val="nil"/>
          <w:bottom w:val="single" w:sz="8" w:space="0" w:color="C8BBBB"/>
          <w:right w:val="nil"/>
          <w:insideH w:val="nil"/>
          <w:insideV w:val="nil"/>
        </w:tcBorders>
      </w:tcPr>
    </w:tblStylePr>
    <w:tblStylePr w:type="firstCol">
      <w:rPr>
        <w:b w:val="0"/>
        <w:bCs/>
      </w:rPr>
    </w:tblStylePr>
    <w:tblStylePr w:type="lastCol">
      <w:rPr>
        <w:b/>
        <w:bCs/>
      </w:rPr>
    </w:tblStylePr>
    <w:tblStylePr w:type="band1Horz">
      <w:tblPr/>
      <w:tcPr>
        <w:tcBorders>
          <w:left w:val="nil"/>
          <w:right w:val="nil"/>
          <w:insideH w:val="nil"/>
          <w:insideV w:val="nil"/>
        </w:tcBorders>
        <w:shd w:val="clear" w:color="auto" w:fill="FAF8F8"/>
      </w:tcPr>
    </w:tblStylePr>
  </w:style>
  <w:style w:type="paragraph" w:styleId="TOCHeading">
    <w:name w:val="TOC Heading"/>
    <w:basedOn w:val="Heading1"/>
    <w:next w:val="Normal"/>
    <w:uiPriority w:val="39"/>
    <w:rsid w:val="00DB58D5"/>
    <w:pPr>
      <w:keepLines/>
      <w:numPr>
        <w:numId w:val="0"/>
      </w:numPr>
      <w:spacing w:before="240" w:line="240" w:lineRule="auto"/>
      <w:outlineLvl w:val="9"/>
    </w:pPr>
    <w:rPr>
      <w:rFonts w:cs="Times New Roman"/>
      <w:bCs w:val="0"/>
    </w:rPr>
  </w:style>
  <w:style w:type="table" w:styleId="MediumList1-Accent2">
    <w:name w:val="Medium List 1 Accent 2"/>
    <w:basedOn w:val="TableNormal"/>
    <w:uiPriority w:val="65"/>
    <w:rsid w:val="00DB58D5"/>
    <w:rPr>
      <w:color w:val="000000"/>
      <w:lang w:eastAsia="de-CH"/>
    </w:rPr>
    <w:tblPr>
      <w:tblStyleRowBandSize w:val="1"/>
      <w:tblStyleColBandSize w:val="1"/>
      <w:tblBorders>
        <w:top w:val="single" w:sz="8" w:space="0" w:color="EBE6E6"/>
        <w:bottom w:val="single" w:sz="8" w:space="0" w:color="EBE6E6"/>
      </w:tblBorders>
    </w:tblPr>
    <w:tblStylePr w:type="firstRow">
      <w:rPr>
        <w:rFonts w:ascii="Arial Narrow" w:eastAsia="Times New Roman" w:hAnsi="Arial Narrow" w:cs="Times New Roman"/>
      </w:rPr>
      <w:tblPr/>
      <w:tcPr>
        <w:tcBorders>
          <w:top w:val="nil"/>
          <w:bottom w:val="single" w:sz="8" w:space="0" w:color="EBE6E6"/>
        </w:tcBorders>
      </w:tcPr>
    </w:tblStylePr>
    <w:tblStylePr w:type="lastRow">
      <w:rPr>
        <w:b/>
        <w:bCs/>
        <w:color w:val="000000"/>
      </w:rPr>
      <w:tblPr/>
      <w:tcPr>
        <w:tcBorders>
          <w:top w:val="single" w:sz="8" w:space="0" w:color="EBE6E6"/>
          <w:bottom w:val="single" w:sz="8" w:space="0" w:color="EBE6E6"/>
        </w:tcBorders>
      </w:tcPr>
    </w:tblStylePr>
    <w:tblStylePr w:type="firstCol">
      <w:rPr>
        <w:b/>
        <w:bCs/>
      </w:rPr>
    </w:tblStylePr>
    <w:tblStylePr w:type="lastCol">
      <w:rPr>
        <w:b/>
        <w:bCs/>
      </w:rPr>
      <w:tblPr/>
      <w:tcPr>
        <w:tcBorders>
          <w:top w:val="single" w:sz="8" w:space="0" w:color="EBE6E6"/>
          <w:bottom w:val="single" w:sz="8" w:space="0" w:color="EBE6E6"/>
        </w:tcBorders>
      </w:tcPr>
    </w:tblStylePr>
    <w:tblStylePr w:type="band1Vert">
      <w:tblPr/>
      <w:tcPr>
        <w:shd w:val="clear" w:color="auto" w:fill="FAF8F8"/>
      </w:tcPr>
    </w:tblStylePr>
    <w:tblStylePr w:type="band1Horz">
      <w:tblPr/>
      <w:tcPr>
        <w:shd w:val="clear" w:color="auto" w:fill="FAF8F8"/>
      </w:tcPr>
    </w:tblStylePr>
  </w:style>
  <w:style w:type="character" w:styleId="PageNumber">
    <w:name w:val="page number"/>
    <w:basedOn w:val="DefaultParagraphFont"/>
    <w:uiPriority w:val="15"/>
    <w:semiHidden/>
    <w:rsid w:val="00DB58D5"/>
  </w:style>
  <w:style w:type="numbering" w:customStyle="1" w:styleId="SensirionListealt">
    <w:name w:val="Sensirion Liste alt"/>
    <w:uiPriority w:val="99"/>
    <w:rsid w:val="00DB58D5"/>
    <w:pPr>
      <w:numPr>
        <w:numId w:val="3"/>
      </w:numPr>
    </w:pPr>
  </w:style>
  <w:style w:type="paragraph" w:styleId="BalloonText">
    <w:name w:val="Balloon Text"/>
    <w:basedOn w:val="Normal"/>
    <w:link w:val="BalloonTextChar"/>
    <w:uiPriority w:val="99"/>
    <w:semiHidden/>
    <w:unhideWhenUsed/>
    <w:rsid w:val="00DB58D5"/>
    <w:pPr>
      <w:spacing w:line="240" w:lineRule="auto"/>
    </w:pPr>
    <w:rPr>
      <w:rFonts w:ascii="Tahoma" w:hAnsi="Tahoma" w:cs="Tahoma"/>
      <w:sz w:val="16"/>
      <w:szCs w:val="16"/>
    </w:rPr>
  </w:style>
  <w:style w:type="character" w:customStyle="1" w:styleId="BalloonTextChar">
    <w:name w:val="Balloon Text Char"/>
    <w:link w:val="BalloonText"/>
    <w:uiPriority w:val="99"/>
    <w:semiHidden/>
    <w:rsid w:val="00D44150"/>
    <w:rPr>
      <w:rFonts w:ascii="Tahoma" w:hAnsi="Tahoma" w:cs="Tahoma"/>
      <w:sz w:val="16"/>
      <w:szCs w:val="16"/>
    </w:rPr>
  </w:style>
  <w:style w:type="paragraph" w:styleId="ListBullet">
    <w:name w:val="List Bullet"/>
    <w:basedOn w:val="Normal"/>
    <w:uiPriority w:val="99"/>
    <w:unhideWhenUsed/>
    <w:rsid w:val="00C3756F"/>
    <w:pPr>
      <w:numPr>
        <w:ilvl w:val="3"/>
        <w:numId w:val="5"/>
      </w:numPr>
      <w:spacing w:before="60"/>
      <w:contextualSpacing/>
    </w:pPr>
  </w:style>
  <w:style w:type="character" w:styleId="UnresolvedMention">
    <w:name w:val="Unresolved Mention"/>
    <w:basedOn w:val="DefaultParagraphFont"/>
    <w:uiPriority w:val="99"/>
    <w:semiHidden/>
    <w:unhideWhenUsed/>
    <w:rsid w:val="00840AA5"/>
    <w:rPr>
      <w:color w:val="605E5C"/>
      <w:shd w:val="clear" w:color="auto" w:fill="E1DFDD"/>
    </w:rPr>
  </w:style>
  <w:style w:type="character" w:styleId="Strong">
    <w:name w:val="Strong"/>
    <w:basedOn w:val="DefaultParagraphFont"/>
    <w:uiPriority w:val="49"/>
    <w:unhideWhenUsed/>
    <w:qFormat/>
    <w:rsid w:val="001E282A"/>
    <w:rPr>
      <w:rFonts w:asciiTheme="majorHAnsi" w:hAnsiTheme="majorHAnsi"/>
      <w:b w:val="0"/>
      <w:bCs/>
    </w:rPr>
  </w:style>
  <w:style w:type="numbering" w:customStyle="1" w:styleId="SensirionListBulletPoints">
    <w:name w:val="Sensirion List Bullet Points"/>
    <w:uiPriority w:val="99"/>
    <w:rsid w:val="00C3756F"/>
    <w:pPr>
      <w:numPr>
        <w:numId w:val="5"/>
      </w:numPr>
    </w:pPr>
  </w:style>
  <w:style w:type="numbering" w:customStyle="1" w:styleId="SensirionList123Heading">
    <w:name w:val="Sensirion List 123 Heading"/>
    <w:uiPriority w:val="99"/>
    <w:rsid w:val="00A93798"/>
    <w:pPr>
      <w:numPr>
        <w:numId w:val="7"/>
      </w:numPr>
    </w:pPr>
  </w:style>
  <w:style w:type="numbering" w:customStyle="1" w:styleId="SensirionList123Numbering">
    <w:name w:val="Sensirion List 123 Numbering"/>
    <w:uiPriority w:val="99"/>
    <w:rsid w:val="000903CE"/>
    <w:pPr>
      <w:numPr>
        <w:numId w:val="10"/>
      </w:numPr>
    </w:pPr>
  </w:style>
  <w:style w:type="numbering" w:customStyle="1" w:styleId="SensirionListabcLettering">
    <w:name w:val="Sensirion List abc Lettering"/>
    <w:uiPriority w:val="99"/>
    <w:rsid w:val="000903CE"/>
    <w:pPr>
      <w:numPr>
        <w:numId w:val="11"/>
      </w:numPr>
    </w:pPr>
  </w:style>
  <w:style w:type="paragraph" w:styleId="Revision">
    <w:name w:val="Revision"/>
    <w:hidden/>
    <w:uiPriority w:val="99"/>
    <w:semiHidden/>
    <w:rsid w:val="005E5671"/>
  </w:style>
  <w:style w:type="character" w:styleId="CommentReference">
    <w:name w:val="annotation reference"/>
    <w:basedOn w:val="DefaultParagraphFont"/>
    <w:uiPriority w:val="99"/>
    <w:semiHidden/>
    <w:unhideWhenUsed/>
    <w:rsid w:val="00FF4084"/>
    <w:rPr>
      <w:sz w:val="16"/>
      <w:szCs w:val="16"/>
    </w:rPr>
  </w:style>
  <w:style w:type="paragraph" w:styleId="CommentText">
    <w:name w:val="annotation text"/>
    <w:basedOn w:val="Normal"/>
    <w:link w:val="CommentTextChar"/>
    <w:uiPriority w:val="99"/>
    <w:unhideWhenUsed/>
    <w:rsid w:val="00FF4084"/>
    <w:pPr>
      <w:spacing w:line="240" w:lineRule="auto"/>
    </w:pPr>
  </w:style>
  <w:style w:type="character" w:customStyle="1" w:styleId="CommentTextChar">
    <w:name w:val="Comment Text Char"/>
    <w:basedOn w:val="DefaultParagraphFont"/>
    <w:link w:val="CommentText"/>
    <w:uiPriority w:val="99"/>
    <w:rsid w:val="00FF4084"/>
  </w:style>
  <w:style w:type="paragraph" w:styleId="CommentSubject">
    <w:name w:val="annotation subject"/>
    <w:basedOn w:val="CommentText"/>
    <w:next w:val="CommentText"/>
    <w:link w:val="CommentSubjectChar"/>
    <w:uiPriority w:val="99"/>
    <w:semiHidden/>
    <w:unhideWhenUsed/>
    <w:rsid w:val="00FF4084"/>
    <w:rPr>
      <w:b/>
      <w:bCs/>
    </w:rPr>
  </w:style>
  <w:style w:type="character" w:customStyle="1" w:styleId="CommentSubjectChar">
    <w:name w:val="Comment Subject Char"/>
    <w:basedOn w:val="CommentTextChar"/>
    <w:link w:val="CommentSubject"/>
    <w:uiPriority w:val="99"/>
    <w:semiHidden/>
    <w:rsid w:val="00FF4084"/>
    <w:rPr>
      <w:b/>
      <w:bCs/>
    </w:rPr>
  </w:style>
  <w:style w:type="character" w:styleId="Mention">
    <w:name w:val="Mention"/>
    <w:basedOn w:val="DefaultParagraphFont"/>
    <w:uiPriority w:val="99"/>
    <w:unhideWhenUsed/>
    <w:rsid w:val="0018375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2813493">
      <w:bodyDiv w:val="1"/>
      <w:marLeft w:val="0"/>
      <w:marRight w:val="0"/>
      <w:marTop w:val="0"/>
      <w:marBottom w:val="0"/>
      <w:divBdr>
        <w:top w:val="none" w:sz="0" w:space="0" w:color="auto"/>
        <w:left w:val="none" w:sz="0" w:space="0" w:color="auto"/>
        <w:bottom w:val="none" w:sz="0" w:space="0" w:color="auto"/>
        <w:right w:val="none" w:sz="0" w:space="0" w:color="auto"/>
      </w:divBdr>
    </w:div>
    <w:div w:id="1008488629">
      <w:bodyDiv w:val="1"/>
      <w:marLeft w:val="0"/>
      <w:marRight w:val="0"/>
      <w:marTop w:val="0"/>
      <w:marBottom w:val="0"/>
      <w:divBdr>
        <w:top w:val="none" w:sz="0" w:space="0" w:color="auto"/>
        <w:left w:val="none" w:sz="0" w:space="0" w:color="auto"/>
        <w:bottom w:val="none" w:sz="0" w:space="0" w:color="auto"/>
        <w:right w:val="none" w:sz="0" w:space="0" w:color="auto"/>
      </w:divBdr>
    </w:div>
    <w:div w:id="1898710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ensirion.com"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reports.sensirion.com/2026/hyr/"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ttendee.gotowebinar.com/register/8863811299983836501?source=pr"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sensirion.com/additional-performance-measur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thurnherr\OneDrive%20-%20Sensirion\Documents\05_PR_HY_2026_Results\Holding_MediaRelease_EN.dotx" TargetMode="External"/></Relationships>
</file>

<file path=word/theme/theme1.xml><?xml version="1.0" encoding="utf-8"?>
<a:theme xmlns:a="http://schemas.openxmlformats.org/drawingml/2006/main" name="Sensirion">
  <a:themeElements>
    <a:clrScheme name="Sensirion Colors">
      <a:dk1>
        <a:srgbClr val="000000"/>
      </a:dk1>
      <a:lt1>
        <a:srgbClr val="FFFFFF"/>
      </a:lt1>
      <a:dk2>
        <a:srgbClr val="616161"/>
      </a:dk2>
      <a:lt2>
        <a:srgbClr val="BDBDBD"/>
      </a:lt2>
      <a:accent1>
        <a:srgbClr val="66CC33"/>
      </a:accent1>
      <a:accent2>
        <a:srgbClr val="A3E085"/>
      </a:accent2>
      <a:accent3>
        <a:srgbClr val="C2EBAD"/>
      </a:accent3>
      <a:accent4>
        <a:srgbClr val="024430"/>
      </a:accent4>
      <a:accent5>
        <a:srgbClr val="004494"/>
      </a:accent5>
      <a:accent6>
        <a:srgbClr val="660099"/>
      </a:accent6>
      <a:hlink>
        <a:srgbClr val="000000"/>
      </a:hlink>
      <a:folHlink>
        <a:srgbClr val="000000"/>
      </a:folHlink>
    </a:clrScheme>
    <a:fontScheme name="Sensirion Fonts">
      <a:majorFont>
        <a:latin typeface="Segoe UI Semibold"/>
        <a:ea typeface=""/>
        <a:cs typeface=""/>
      </a:majorFont>
      <a:minorFont>
        <a:latin typeface="Segoe U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raClrScheme>
      <a:clrScheme name="Sensirion">
        <a:dk1>
          <a:srgbClr val="000000"/>
        </a:dk1>
        <a:lt1>
          <a:srgbClr val="FFFFFF"/>
        </a:lt1>
        <a:dk2>
          <a:srgbClr val="616161"/>
        </a:dk2>
        <a:lt2>
          <a:srgbClr val="BDBDBD"/>
        </a:lt2>
        <a:accent1>
          <a:srgbClr val="66CC33"/>
        </a:accent1>
        <a:accent2>
          <a:srgbClr val="A3E085"/>
        </a:accent2>
        <a:accent3>
          <a:srgbClr val="C2EBAD"/>
        </a:accent3>
        <a:accent4>
          <a:srgbClr val="024430"/>
        </a:accent4>
        <a:accent5>
          <a:srgbClr val="004494"/>
        </a:accent5>
        <a:accent6>
          <a:srgbClr val="660099"/>
        </a:accent6>
        <a:hlink>
          <a:srgbClr val="000000"/>
        </a:hlink>
        <a:folHlink>
          <a:srgbClr val="000000"/>
        </a:folHlink>
      </a:clrScheme>
      <a:clrMap bg1="lt1" tx1="dk1" bg2="lt2" tx2="dk2" accent1="accent1" accent2="accent2" accent3="accent3" accent4="accent4" accent5="accent5" accent6="accent6" hlink="hlink" folHlink="folHlink"/>
    </a:extraClrScheme>
  </a:extraClrSchemeLst>
  <a:custClrLst>
    <a:custClr name="Sensirion Green 100%">
      <a:srgbClr val="66CC33"/>
    </a:custClr>
    <a:custClr name="Sensirion Green 60%">
      <a:srgbClr val="A3E085"/>
    </a:custClr>
    <a:custClr name="Sensirion Green 40%">
      <a:srgbClr val="C2EBAD"/>
    </a:custClr>
    <a:custClr name="Sensirion Green 20%">
      <a:srgbClr val="E0F5D6"/>
    </a:custClr>
    <a:custClr name="Weiss">
      <a:srgbClr val="FFFFFF"/>
    </a:custClr>
    <a:custClr name="Weiss">
      <a:srgbClr val="FFFFFF"/>
    </a:custClr>
    <a:custClr name="Weiss">
      <a:srgbClr val="FFFFFF"/>
    </a:custClr>
    <a:custClr name="PCB Green">
      <a:srgbClr val="024430"/>
    </a:custClr>
    <a:custClr name="Cadmium Blue">
      <a:srgbClr val="004494"/>
    </a:custClr>
    <a:custClr name="Solid Purple">
      <a:srgbClr val="660099"/>
    </a:custClr>
    <a:custClr name="Black 100%">
      <a:srgbClr val="000000"/>
    </a:custClr>
    <a:custClr name="Black 60% - Cool Gray 9">
      <a:srgbClr val="616161"/>
    </a:custClr>
    <a:custClr name="Black 30% - Cool Gray 6">
      <a:srgbClr val="BDBDBD"/>
    </a:custClr>
    <a:custClr name="Black 20% - Cool Gray 2">
      <a:srgbClr val="EEEEEE"/>
    </a:custClr>
    <a:custClr name="Weiss">
      <a:srgbClr val="FFFFFF"/>
    </a:custClr>
    <a:custClr name="Weiss">
      <a:srgbClr val="FFFFFF"/>
    </a:custClr>
    <a:custClr name="Weiss">
      <a:srgbClr val="FFFFFF"/>
    </a:custClr>
    <a:custClr name="Weiss">
      <a:srgbClr val="FFFFFF"/>
    </a:custClr>
    <a:custClr name="Weiss">
      <a:srgbClr val="FFFFFF"/>
    </a:custClr>
    <a:custClr name="Weiss">
      <a:srgbClr val="FFFFFF"/>
    </a:custClr>
    <a:custClr name="Black 100%">
      <a:srgbClr val="000000"/>
    </a:custClr>
    <a:custClr name="Black 90%">
      <a:srgbClr val="191919"/>
    </a:custClr>
    <a:custClr name="Black 80%">
      <a:srgbClr val="333333"/>
    </a:custClr>
    <a:custClr name="Black 70%">
      <a:srgbClr val="4D4D4D"/>
    </a:custClr>
    <a:custClr name="Black 60%">
      <a:srgbClr val="666666"/>
    </a:custClr>
    <a:custClr name="Black 50%">
      <a:srgbClr val="808080"/>
    </a:custClr>
    <a:custClr name="Black 40%">
      <a:srgbClr val="999999"/>
    </a:custClr>
    <a:custClr name="Black 30%">
      <a:srgbClr val="B3B3B3"/>
    </a:custClr>
    <a:custClr name="Black 20%">
      <a:srgbClr val="CCCCCC"/>
    </a:custClr>
    <a:custClr name="Black 10%">
      <a:srgbClr val="E6E6E6"/>
    </a:custClr>
  </a:custClrLst>
  <a:extLst>
    <a:ext uri="{05A4C25C-085E-4340-85A3-A5531E510DB2}">
      <thm15:themeFamily xmlns:thm15="http://schemas.microsoft.com/office/thememl/2012/main" name="Sensirion" id="{6777E48B-2A95-4C2F-B6C2-375E2ACD4838}" vid="{71CDBA1E-0F08-484F-815D-DA716DEDBC0C}"/>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aabecb2-966d-44cb-b246-a4b91e0a39eb">
      <Terms xmlns="http://schemas.microsoft.com/office/infopath/2007/PartnerControls"/>
    </lcf76f155ced4ddcb4097134ff3c332f>
    <TaxCatchAll xmlns="7356de10-6ff8-4377-b220-392ca2b18f8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D078F2A8263E1459D24A1507EDCA8CF" ma:contentTypeVersion="16" ma:contentTypeDescription="Create a new document." ma:contentTypeScope="" ma:versionID="c499e554397d2911463353f74b94a769">
  <xsd:schema xmlns:xsd="http://www.w3.org/2001/XMLSchema" xmlns:xs="http://www.w3.org/2001/XMLSchema" xmlns:p="http://schemas.microsoft.com/office/2006/metadata/properties" xmlns:ns2="9b096da1-55ae-40f0-828e-d96caf0055d1" xmlns:ns3="0aabecb2-966d-44cb-b246-a4b91e0a39eb" xmlns:ns4="7356de10-6ff8-4377-b220-392ca2b18f81" targetNamespace="http://schemas.microsoft.com/office/2006/metadata/properties" ma:root="true" ma:fieldsID="f65f4b8c438fba5c3d353371e63b9381" ns2:_="" ns3:_="" ns4:_="">
    <xsd:import namespace="9b096da1-55ae-40f0-828e-d96caf0055d1"/>
    <xsd:import namespace="0aabecb2-966d-44cb-b246-a4b91e0a39eb"/>
    <xsd:import namespace="7356de10-6ff8-4377-b220-392ca2b18f8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4:TaxCatchAll" minOccurs="0"/>
                <xsd:element ref="ns3:MediaServiceDateTaken"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096da1-55ae-40f0-828e-d96caf0055d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aabecb2-966d-44cb-b246-a4b91e0a39e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8de631-2c85-4ba1-af09-54e0ec8ee11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356de10-6ff8-4377-b220-392ca2b18f8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1616522-e9f7-47ae-bd46-bb7c804931c5}" ma:internalName="TaxCatchAll" ma:showField="CatchAllData" ma:web="7356de10-6ff8-4377-b220-392ca2b18f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D7CF7A-0851-4313-B2FD-8DB4341E640C}">
  <ds:schemaRefs>
    <ds:schemaRef ds:uri="http://schemas.microsoft.com/office/2006/metadata/properties"/>
    <ds:schemaRef ds:uri="http://schemas.microsoft.com/office/infopath/2007/PartnerControls"/>
    <ds:schemaRef ds:uri="0aabecb2-966d-44cb-b246-a4b91e0a39eb"/>
    <ds:schemaRef ds:uri="7356de10-6ff8-4377-b220-392ca2b18f81"/>
  </ds:schemaRefs>
</ds:datastoreItem>
</file>

<file path=customXml/itemProps2.xml><?xml version="1.0" encoding="utf-8"?>
<ds:datastoreItem xmlns:ds="http://schemas.openxmlformats.org/officeDocument/2006/customXml" ds:itemID="{99FC199B-C235-4908-9A22-0973911991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096da1-55ae-40f0-828e-d96caf0055d1"/>
    <ds:schemaRef ds:uri="0aabecb2-966d-44cb-b246-a4b91e0a39eb"/>
    <ds:schemaRef ds:uri="7356de10-6ff8-4377-b220-392ca2b18f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C34F52-750A-4809-A62E-4DD5D8B80ADF}">
  <ds:schemaRefs>
    <ds:schemaRef ds:uri="http://schemas.microsoft.com/sharepoint/v3/contenttype/forms"/>
  </ds:schemaRefs>
</ds:datastoreItem>
</file>

<file path=customXml/itemProps4.xml><?xml version="1.0" encoding="utf-8"?>
<ds:datastoreItem xmlns:ds="http://schemas.openxmlformats.org/officeDocument/2006/customXml" ds:itemID="{8823FE86-530B-4FFF-A37E-0E63A620D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Holding_MediaRelease_EN</Template>
  <TotalTime>0</TotalTime>
  <Pages>5</Pages>
  <Words>2178</Words>
  <Characters>13726</Characters>
  <Application>Microsoft Office Word</Application>
  <DocSecurity>0</DocSecurity>
  <Lines>114</Lines>
  <Paragraphs>31</Paragraphs>
  <ScaleCrop>false</ScaleCrop>
  <Company/>
  <LinksUpToDate>false</LinksUpToDate>
  <CharactersWithSpaces>15873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Template</dc:title>
  <dc:subject/>
  <dc:creator>Barbara Thurnherr</dc:creator>
  <cp:keywords/>
  <dc:description/>
  <cp:lastModifiedBy>Barbara Thurnherr</cp:lastModifiedBy>
  <cp:revision>11</cp:revision>
  <cp:lastPrinted>2026-08-18T14:41:00Z</cp:lastPrinted>
  <dcterms:created xsi:type="dcterms:W3CDTF">2026-08-17T21:21:00Z</dcterms:created>
  <dcterms:modified xsi:type="dcterms:W3CDTF">2026-08-18T14:41:00Z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0x010100DD078F2A8263E1459D24A1507EDCA8CF</vt:lpwstr>
  </property>
  <property fmtid="{D5CDD505-2E9C-101B-9397-08002B2CF9AE}" pid="4" name="MSIP_Label_8b833d12-c387-4ee1-b3ed-d59690047b70_Enabled">
    <vt:lpwstr>true</vt:lpwstr>
  </property>
  <property fmtid="{D5CDD505-2E9C-101B-9397-08002B2CF9AE}" pid="5" name="MSIP_Label_8b833d12-c387-4ee1-b3ed-d59690047b70_SetDate">
    <vt:lpwstr>2026-08-13T04:58:14Z</vt:lpwstr>
  </property>
  <property fmtid="{D5CDD505-2E9C-101B-9397-08002B2CF9AE}" pid="6" name="MSIP_Label_8b833d12-c387-4ee1-b3ed-d59690047b70_Method">
    <vt:lpwstr>Standard</vt:lpwstr>
  </property>
  <property fmtid="{D5CDD505-2E9C-101B-9397-08002B2CF9AE}" pid="7" name="MSIP_Label_8b833d12-c387-4ee1-b3ed-d59690047b70_Name">
    <vt:lpwstr>D5</vt:lpwstr>
  </property>
  <property fmtid="{D5CDD505-2E9C-101B-9397-08002B2CF9AE}" pid="8" name="MSIP_Label_8b833d12-c387-4ee1-b3ed-d59690047b70_SiteId">
    <vt:lpwstr>97b70348-6168-425b-8cee-4328b09d7ddd</vt:lpwstr>
  </property>
  <property fmtid="{D5CDD505-2E9C-101B-9397-08002B2CF9AE}" pid="9" name="MSIP_Label_8b833d12-c387-4ee1-b3ed-d59690047b70_ActionId">
    <vt:lpwstr>49451c92-bfd1-4a33-a2f2-2eba8cee9988</vt:lpwstr>
  </property>
  <property fmtid="{D5CDD505-2E9C-101B-9397-08002B2CF9AE}" pid="10" name="MSIP_Label_8b833d12-c387-4ee1-b3ed-d59690047b70_ContentBits">
    <vt:lpwstr>0</vt:lpwstr>
  </property>
  <property fmtid="{D5CDD505-2E9C-101B-9397-08002B2CF9AE}" pid="11" name="MSIP_Label_8b833d12-c387-4ee1-b3ed-d59690047b70_Tag">
    <vt:lpwstr>10, 3, 0, 1</vt:lpwstr>
  </property>
  <property fmtid="{D5CDD505-2E9C-101B-9397-08002B2CF9AE}" pid="12" name="docLang">
    <vt:lpwstr>en</vt:lpwstr>
  </property>
</Properties>
</file>