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A16B2B" w14:textId="79CACA15" w:rsidR="00C73B16" w:rsidRPr="005B1B49" w:rsidRDefault="00C73B16" w:rsidP="00C73B16">
      <w:pPr>
        <w:pStyle w:val="SensirionSubtitle"/>
        <w:rPr>
          <w:lang w:val="de-CH"/>
        </w:rPr>
      </w:pPr>
      <w:r w:rsidRPr="005B1B49">
        <w:rPr>
          <w:lang w:val="de-CH"/>
        </w:rPr>
        <w:t>Media Release</w:t>
      </w:r>
    </w:p>
    <w:p w14:paraId="7D994462" w14:textId="2CAFF679" w:rsidR="00C73B16" w:rsidRPr="00A70900" w:rsidRDefault="001350D5" w:rsidP="00C73B16">
      <w:pPr>
        <w:pStyle w:val="SensirionSubtitle"/>
        <w:pBdr>
          <w:bottom w:val="single" w:sz="4" w:space="1" w:color="auto"/>
        </w:pBdr>
        <w:rPr>
          <w:lang w:val="de-CH"/>
        </w:rPr>
      </w:pPr>
      <w:r>
        <w:rPr>
          <w:lang w:val="de-CH"/>
        </w:rPr>
        <w:t>21.11.2024</w:t>
      </w:r>
      <w:r w:rsidR="00C73B16" w:rsidRPr="00A70900">
        <w:rPr>
          <w:lang w:val="de-CH"/>
        </w:rPr>
        <w:t>, Sensirion AG, 8712 Stäfa, Schweiz</w:t>
      </w:r>
    </w:p>
    <w:p w14:paraId="3C5C708F" w14:textId="6A04735D" w:rsidR="00C73B16" w:rsidRPr="00A70900" w:rsidRDefault="00C73B16" w:rsidP="00876D65">
      <w:pPr>
        <w:jc w:val="both"/>
        <w:rPr>
          <w:b/>
          <w:bCs/>
          <w:sz w:val="28"/>
          <w:szCs w:val="28"/>
          <w:lang w:val="de-CH" w:eastAsia="de-DE"/>
        </w:rPr>
      </w:pPr>
    </w:p>
    <w:p w14:paraId="7AE45E8A" w14:textId="6D976A1E" w:rsidR="001D1624" w:rsidRPr="00E306C2" w:rsidRDefault="00E306C2" w:rsidP="00876D65">
      <w:pPr>
        <w:jc w:val="both"/>
        <w:rPr>
          <w:lang w:eastAsia="de-DE"/>
        </w:rPr>
      </w:pPr>
      <w:r w:rsidRPr="00E306C2">
        <w:rPr>
          <w:b/>
          <w:bCs/>
          <w:sz w:val="28"/>
          <w:szCs w:val="28"/>
          <w:lang w:eastAsia="de-DE"/>
        </w:rPr>
        <w:t xml:space="preserve">Sensirion </w:t>
      </w:r>
      <w:r>
        <w:rPr>
          <w:b/>
          <w:bCs/>
          <w:sz w:val="28"/>
          <w:szCs w:val="28"/>
          <w:lang w:eastAsia="de-DE"/>
        </w:rPr>
        <w:t>announces</w:t>
      </w:r>
      <w:r w:rsidRPr="00E306C2">
        <w:rPr>
          <w:b/>
          <w:bCs/>
          <w:sz w:val="28"/>
          <w:szCs w:val="28"/>
          <w:lang w:eastAsia="de-DE"/>
        </w:rPr>
        <w:t xml:space="preserve"> global </w:t>
      </w:r>
      <w:r w:rsidR="001D5236">
        <w:rPr>
          <w:b/>
          <w:bCs/>
          <w:sz w:val="28"/>
          <w:szCs w:val="28"/>
          <w:lang w:eastAsia="de-DE"/>
        </w:rPr>
        <w:t>availability</w:t>
      </w:r>
      <w:r w:rsidRPr="00E306C2">
        <w:rPr>
          <w:b/>
          <w:bCs/>
          <w:sz w:val="28"/>
          <w:szCs w:val="28"/>
          <w:lang w:eastAsia="de-DE"/>
        </w:rPr>
        <w:t xml:space="preserve"> of </w:t>
      </w:r>
      <w:r>
        <w:rPr>
          <w:b/>
          <w:bCs/>
          <w:sz w:val="28"/>
          <w:szCs w:val="28"/>
          <w:lang w:eastAsia="de-DE"/>
        </w:rPr>
        <w:t>SEK-SEN66</w:t>
      </w:r>
      <w:r w:rsidRPr="00E306C2">
        <w:rPr>
          <w:b/>
          <w:bCs/>
          <w:sz w:val="28"/>
          <w:szCs w:val="28"/>
          <w:lang w:eastAsia="de-DE"/>
        </w:rPr>
        <w:t xml:space="preserve"> evaluation kit</w:t>
      </w:r>
    </w:p>
    <w:p w14:paraId="4EFD78C8" w14:textId="77777777" w:rsidR="00002351" w:rsidRDefault="00002351" w:rsidP="00876D65">
      <w:pPr>
        <w:jc w:val="both"/>
        <w:rPr>
          <w:lang w:eastAsia="de-DE"/>
        </w:rPr>
      </w:pPr>
    </w:p>
    <w:p w14:paraId="055A195F" w14:textId="724F360F" w:rsidR="00876D65" w:rsidRPr="008C7C9C" w:rsidRDefault="00876D65" w:rsidP="00876D65">
      <w:pPr>
        <w:jc w:val="both"/>
        <w:rPr>
          <w:b/>
          <w:bCs/>
          <w:lang w:eastAsia="de-DE"/>
        </w:rPr>
      </w:pPr>
      <w:r w:rsidRPr="008C7C9C">
        <w:rPr>
          <w:b/>
          <w:bCs/>
          <w:lang w:eastAsia="de-DE"/>
        </w:rPr>
        <w:t xml:space="preserve">Sensirion is excited to announce the </w:t>
      </w:r>
      <w:r w:rsidR="008C7C9C" w:rsidRPr="008C7C9C">
        <w:rPr>
          <w:b/>
          <w:bCs/>
          <w:lang w:eastAsia="de-DE"/>
        </w:rPr>
        <w:t>launch</w:t>
      </w:r>
      <w:r w:rsidRPr="008C7C9C">
        <w:rPr>
          <w:b/>
          <w:bCs/>
          <w:lang w:eastAsia="de-DE"/>
        </w:rPr>
        <w:t xml:space="preserve"> of the SEK-SEN66 evaluation kit. </w:t>
      </w:r>
      <w:r w:rsidR="008C7C9C" w:rsidRPr="008C7C9C">
        <w:rPr>
          <w:b/>
          <w:bCs/>
          <w:lang w:eastAsia="de-DE"/>
        </w:rPr>
        <w:t>It</w:t>
      </w:r>
      <w:r w:rsidRPr="008C7C9C">
        <w:rPr>
          <w:b/>
          <w:bCs/>
          <w:lang w:eastAsia="de-DE"/>
        </w:rPr>
        <w:t xml:space="preserve"> is designed for easy and cost-effective evaluation of Sensirion’s all-in-one air quality sensor modules</w:t>
      </w:r>
      <w:r w:rsidR="008C7C9C" w:rsidRPr="008C7C9C">
        <w:rPr>
          <w:b/>
          <w:bCs/>
          <w:lang w:eastAsia="de-DE"/>
        </w:rPr>
        <w:t>, including SEN</w:t>
      </w:r>
      <w:r w:rsidRPr="008C7C9C">
        <w:rPr>
          <w:b/>
          <w:bCs/>
          <w:lang w:eastAsia="de-DE"/>
        </w:rPr>
        <w:t xml:space="preserve">60, SEN65, and SEN66. </w:t>
      </w:r>
      <w:r w:rsidR="008C7C9C">
        <w:rPr>
          <w:b/>
          <w:bCs/>
          <w:lang w:eastAsia="de-DE"/>
        </w:rPr>
        <w:t xml:space="preserve">The evaluation kit is now </w:t>
      </w:r>
      <w:r w:rsidRPr="008C7C9C">
        <w:rPr>
          <w:b/>
          <w:bCs/>
          <w:lang w:eastAsia="de-DE"/>
        </w:rPr>
        <w:t xml:space="preserve">available for purchase through </w:t>
      </w:r>
      <w:r w:rsidR="00071AE2">
        <w:rPr>
          <w:b/>
          <w:bCs/>
          <w:lang w:eastAsia="de-DE"/>
        </w:rPr>
        <w:t>their</w:t>
      </w:r>
      <w:r w:rsidRPr="008C7C9C">
        <w:rPr>
          <w:b/>
          <w:bCs/>
          <w:lang w:eastAsia="de-DE"/>
        </w:rPr>
        <w:t xml:space="preserve"> global network of trusted channel partners</w:t>
      </w:r>
      <w:r w:rsidR="008C7C9C">
        <w:rPr>
          <w:b/>
          <w:bCs/>
          <w:lang w:eastAsia="de-DE"/>
        </w:rPr>
        <w:t>.</w:t>
      </w:r>
    </w:p>
    <w:p w14:paraId="77D32A49" w14:textId="6C8BF733" w:rsidR="00876D65" w:rsidRDefault="00876D65" w:rsidP="00876D65">
      <w:pPr>
        <w:jc w:val="both"/>
        <w:rPr>
          <w:lang w:eastAsia="de-DE"/>
        </w:rPr>
      </w:pPr>
    </w:p>
    <w:p w14:paraId="0ECE32E1" w14:textId="297B21FE" w:rsidR="00002351" w:rsidRDefault="00876D65" w:rsidP="00876D65">
      <w:pPr>
        <w:jc w:val="both"/>
        <w:rPr>
          <w:lang w:eastAsia="de-DE"/>
        </w:rPr>
      </w:pPr>
      <w:r>
        <w:rPr>
          <w:noProof/>
          <w:lang w:eastAsia="de-DE"/>
        </w:rPr>
        <w:drawing>
          <wp:anchor distT="0" distB="0" distL="114300" distR="114300" simplePos="0" relativeHeight="251658240" behindDoc="0" locked="0" layoutInCell="1" allowOverlap="1" wp14:anchorId="1C0F8EF8" wp14:editId="06C9EBB9">
            <wp:simplePos x="0" y="0"/>
            <wp:positionH relativeFrom="column">
              <wp:posOffset>-52705</wp:posOffset>
            </wp:positionH>
            <wp:positionV relativeFrom="paragraph">
              <wp:posOffset>184150</wp:posOffset>
            </wp:positionV>
            <wp:extent cx="2324100" cy="1503680"/>
            <wp:effectExtent l="0" t="0" r="0" b="0"/>
            <wp:wrapSquare wrapText="bothSides"/>
            <wp:docPr id="20285689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3557"/>
                    <a:stretch/>
                  </pic:blipFill>
                  <pic:spPr bwMode="auto">
                    <a:xfrm>
                      <a:off x="0" y="0"/>
                      <a:ext cx="2324100" cy="1503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43216EE4" w14:textId="68869790" w:rsidR="00002351" w:rsidRDefault="00AE51C8" w:rsidP="00876D65">
      <w:pPr>
        <w:jc w:val="both"/>
        <w:rPr>
          <w:lang w:eastAsia="de-DE"/>
        </w:rPr>
      </w:pPr>
      <w:r w:rsidRPr="00AE51C8">
        <w:rPr>
          <w:noProof/>
          <w:lang w:val="de-CH"/>
        </w:rPr>
        <mc:AlternateContent>
          <mc:Choice Requires="wps">
            <w:drawing>
              <wp:anchor distT="45720" distB="45720" distL="114300" distR="114300" simplePos="0" relativeHeight="251660289" behindDoc="0" locked="0" layoutInCell="1" allowOverlap="1" wp14:anchorId="2624CEFD" wp14:editId="2F9A9C5E">
                <wp:simplePos x="0" y="0"/>
                <wp:positionH relativeFrom="column">
                  <wp:posOffset>-105410</wp:posOffset>
                </wp:positionH>
                <wp:positionV relativeFrom="paragraph">
                  <wp:posOffset>1498600</wp:posOffset>
                </wp:positionV>
                <wp:extent cx="2360930" cy="1404620"/>
                <wp:effectExtent l="0" t="0" r="0" b="1270"/>
                <wp:wrapSquare wrapText="bothSides"/>
                <wp:docPr id="2147590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147DFC55" w14:textId="2CFA9DF4" w:rsidR="00AE51C8" w:rsidRPr="00AE51C8" w:rsidRDefault="00AE51C8">
                            <w:pPr>
                              <w:rPr>
                                <w:i/>
                                <w:iCs/>
                                <w:sz w:val="18"/>
                                <w:szCs w:val="18"/>
                              </w:rPr>
                            </w:pPr>
                            <w:r w:rsidRPr="00AE51C8">
                              <w:rPr>
                                <w:i/>
                                <w:iCs/>
                                <w:sz w:val="18"/>
                                <w:szCs w:val="18"/>
                              </w:rPr>
                              <w:t>Sensirion’s evaluation kit SEK-SEN66</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624CEFD" id="_x0000_t202" coordsize="21600,21600" o:spt="202" path="m,l,21600r21600,l21600,xe">
                <v:stroke joinstyle="miter"/>
                <v:path gradientshapeok="t" o:connecttype="rect"/>
              </v:shapetype>
              <v:shape id="Text Box 2" o:spid="_x0000_s1026" type="#_x0000_t202" style="position:absolute;left:0;text-align:left;margin-left:-8.3pt;margin-top:118pt;width:185.9pt;height:110.6pt;z-index:251660289;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" filled="f" stroked="f">
                <v:textbox style="mso-fit-shape-to-text:t">
                  <w:txbxContent>
                    <w:p w14:paraId="147DFC55" w14:textId="2CFA9DF4" w:rsidR="00AE51C8" w:rsidRPr="00AE51C8" w:rsidRDefault="00AE51C8">
                      <w:pPr>
                        <w:rPr>
                          <w:i/>
                          <w:iCs/>
                          <w:sz w:val="18"/>
                          <w:szCs w:val="18"/>
                        </w:rPr>
                      </w:pPr>
                      <w:r w:rsidRPr="00AE51C8">
                        <w:rPr>
                          <w:i/>
                          <w:iCs/>
                          <w:sz w:val="18"/>
                          <w:szCs w:val="18"/>
                        </w:rPr>
                        <w:t>Sensirion’s evaluation kit SEK-SEN66</w:t>
                      </w:r>
                    </w:p>
                  </w:txbxContent>
                </v:textbox>
                <w10:wrap type="square"/>
              </v:shape>
            </w:pict>
          </mc:Fallback>
        </mc:AlternateContent>
      </w:r>
      <w:proofErr w:type="spellStart"/>
      <w:r w:rsidR="00002351">
        <w:rPr>
          <w:lang w:eastAsia="de-DE"/>
        </w:rPr>
        <w:t>Stäfa</w:t>
      </w:r>
      <w:proofErr w:type="spellEnd"/>
      <w:r w:rsidR="00002351">
        <w:rPr>
          <w:lang w:eastAsia="de-DE"/>
        </w:rPr>
        <w:t xml:space="preserve">, Switzerland – </w:t>
      </w:r>
      <w:r w:rsidR="00876D65" w:rsidRPr="00876D65">
        <w:rPr>
          <w:lang w:eastAsia="de-DE"/>
        </w:rPr>
        <w:t xml:space="preserve">The SEK-SEN66 evaluation kit is part of Sensirion’s versatile SEN6x family, </w:t>
      </w:r>
      <w:r w:rsidR="008C7C9C" w:rsidRPr="008C7C9C">
        <w:rPr>
          <w:lang w:eastAsia="de-DE"/>
        </w:rPr>
        <w:t>offering</w:t>
      </w:r>
      <w:r w:rsidR="00876D65" w:rsidRPr="008C7C9C">
        <w:rPr>
          <w:lang w:eastAsia="de-DE"/>
        </w:rPr>
        <w:t xml:space="preserve"> </w:t>
      </w:r>
      <w:r w:rsidR="00876D65" w:rsidRPr="00876D65">
        <w:rPr>
          <w:lang w:eastAsia="de-DE"/>
        </w:rPr>
        <w:t>a user-friendly solution for assessing sensor capabilities. The advanced</w:t>
      </w:r>
      <w:r w:rsidR="00876D65">
        <w:rPr>
          <w:lang w:eastAsia="de-DE"/>
        </w:rPr>
        <w:t xml:space="preserve"> SEN6x</w:t>
      </w:r>
      <w:r w:rsidR="00876D65" w:rsidRPr="00876D65">
        <w:rPr>
          <w:lang w:eastAsia="de-DE"/>
        </w:rPr>
        <w:t xml:space="preserve"> </w:t>
      </w:r>
      <w:r w:rsidR="00876D65">
        <w:rPr>
          <w:lang w:eastAsia="de-DE"/>
        </w:rPr>
        <w:t>modules</w:t>
      </w:r>
      <w:r w:rsidR="00876D65" w:rsidRPr="00876D65">
        <w:rPr>
          <w:lang w:eastAsia="de-DE"/>
        </w:rPr>
        <w:t xml:space="preserve"> are equipped with built-in algorithms that manage data processing,</w:t>
      </w:r>
      <w:r w:rsidR="00876D65" w:rsidRPr="008C7C9C">
        <w:rPr>
          <w:lang w:eastAsia="de-DE"/>
        </w:rPr>
        <w:t xml:space="preserve"> enabling</w:t>
      </w:r>
      <w:r w:rsidR="008C7C9C" w:rsidRPr="008C7C9C">
        <w:rPr>
          <w:lang w:eastAsia="de-DE"/>
        </w:rPr>
        <w:t xml:space="preserve"> device manufacturers</w:t>
      </w:r>
      <w:r w:rsidR="00876D65" w:rsidRPr="00876D65">
        <w:rPr>
          <w:lang w:eastAsia="de-DE"/>
        </w:rPr>
        <w:t xml:space="preserve"> to focus on their core competencies and application development. By eliminating the need for costly, time-consuming optimizations, the SEN6x family allows for faster time-to-market and reduced overall </w:t>
      </w:r>
      <w:r w:rsidR="00836E0B">
        <w:rPr>
          <w:lang w:eastAsia="de-DE"/>
        </w:rPr>
        <w:t xml:space="preserve">cost of </w:t>
      </w:r>
      <w:r w:rsidR="00876D65" w:rsidRPr="00876D65">
        <w:rPr>
          <w:lang w:eastAsia="de-DE"/>
        </w:rPr>
        <w:t>ownership.</w:t>
      </w:r>
    </w:p>
    <w:p w14:paraId="5D9124FB" w14:textId="6C0DCD37" w:rsidR="00876D65" w:rsidRDefault="00876D65" w:rsidP="00876D65">
      <w:pPr>
        <w:jc w:val="both"/>
        <w:rPr>
          <w:lang w:eastAsia="de-DE"/>
        </w:rPr>
      </w:pPr>
    </w:p>
    <w:p w14:paraId="7D5A6981" w14:textId="3D2BFB44" w:rsidR="00876D65" w:rsidRDefault="003C375E" w:rsidP="00876D65">
      <w:pPr>
        <w:jc w:val="both"/>
        <w:rPr>
          <w:lang w:eastAsia="de-DE"/>
        </w:rPr>
      </w:pPr>
      <w:r>
        <w:rPr>
          <w:noProof/>
          <w:lang w:eastAsia="de-DE"/>
        </w:rPr>
        <mc:AlternateContent>
          <mc:Choice Requires="wps">
            <w:drawing>
              <wp:anchor distT="45720" distB="45720" distL="114300" distR="114300" simplePos="0" relativeHeight="251658241" behindDoc="0" locked="0" layoutInCell="1" allowOverlap="1" wp14:anchorId="638A376F" wp14:editId="725A04C9">
                <wp:simplePos x="0" y="0"/>
                <wp:positionH relativeFrom="column">
                  <wp:posOffset>3311525</wp:posOffset>
                </wp:positionH>
                <wp:positionV relativeFrom="paragraph">
                  <wp:posOffset>136525</wp:posOffset>
                </wp:positionV>
                <wp:extent cx="2486025" cy="1404620"/>
                <wp:effectExtent l="0" t="0" r="9525"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1404620"/>
                        </a:xfrm>
                        <a:prstGeom prst="rect">
                          <a:avLst/>
                        </a:prstGeom>
                        <a:solidFill>
                          <a:schemeClr val="bg2">
                            <a:lumMod val="20000"/>
                            <a:lumOff val="80000"/>
                          </a:schemeClr>
                        </a:solidFill>
                        <a:ln w="9525">
                          <a:noFill/>
                          <a:miter lim="800000"/>
                          <a:headEnd/>
                          <a:tailEnd/>
                        </a:ln>
                      </wps:spPr>
                      <wps:txbx>
                        <w:txbxContent>
                          <w:p w14:paraId="6D55AA55" w14:textId="65545CFA" w:rsidR="00A528A1" w:rsidRPr="003C375E" w:rsidRDefault="00A528A1" w:rsidP="008C7C9C">
                            <w:pPr>
                              <w:spacing w:before="240" w:after="240"/>
                              <w:ind w:left="284"/>
                              <w:jc w:val="both"/>
                              <w:rPr>
                                <w:rFonts w:asciiTheme="majorHAnsi" w:hAnsiTheme="majorHAnsi" w:cstheme="majorHAnsi"/>
                                <w:lang w:eastAsia="de-DE"/>
                              </w:rPr>
                            </w:pPr>
                            <w:r w:rsidRPr="003C375E">
                              <w:rPr>
                                <w:rFonts w:asciiTheme="majorHAnsi" w:hAnsiTheme="majorHAnsi" w:cstheme="majorHAnsi"/>
                                <w:lang w:eastAsia="de-DE"/>
                              </w:rPr>
                              <w:t>SEN6x modularity</w:t>
                            </w:r>
                          </w:p>
                          <w:p w14:paraId="0A745F51" w14:textId="541CEE67" w:rsidR="00A528A1" w:rsidRDefault="00A528A1" w:rsidP="008C7C9C">
                            <w:pPr>
                              <w:spacing w:after="120"/>
                              <w:ind w:left="284"/>
                              <w:jc w:val="both"/>
                              <w:rPr>
                                <w:vertAlign w:val="subscript"/>
                                <w:lang w:eastAsia="de-DE"/>
                              </w:rPr>
                            </w:pPr>
                            <w:r>
                              <w:rPr>
                                <w:lang w:eastAsia="de-DE"/>
                              </w:rPr>
                              <w:t>SEN60: PM</w:t>
                            </w:r>
                            <w:r w:rsidRPr="003C375E">
                              <w:rPr>
                                <w:vertAlign w:val="subscript"/>
                                <w:lang w:eastAsia="de-DE"/>
                              </w:rPr>
                              <w:t>1</w:t>
                            </w:r>
                            <w:r>
                              <w:rPr>
                                <w:lang w:eastAsia="de-DE"/>
                              </w:rPr>
                              <w:t>, PM</w:t>
                            </w:r>
                            <w:r w:rsidRPr="003C375E">
                              <w:rPr>
                                <w:vertAlign w:val="subscript"/>
                                <w:lang w:eastAsia="de-DE"/>
                              </w:rPr>
                              <w:t>2.5</w:t>
                            </w:r>
                            <w:r>
                              <w:rPr>
                                <w:lang w:eastAsia="de-DE"/>
                              </w:rPr>
                              <w:t>, PM</w:t>
                            </w:r>
                            <w:r w:rsidRPr="003C375E">
                              <w:rPr>
                                <w:vertAlign w:val="subscript"/>
                                <w:lang w:eastAsia="de-DE"/>
                              </w:rPr>
                              <w:t>4</w:t>
                            </w:r>
                            <w:r>
                              <w:rPr>
                                <w:lang w:eastAsia="de-DE"/>
                              </w:rPr>
                              <w:t>, PM</w:t>
                            </w:r>
                            <w:r w:rsidRPr="003C375E">
                              <w:rPr>
                                <w:vertAlign w:val="subscript"/>
                                <w:lang w:eastAsia="de-DE"/>
                              </w:rPr>
                              <w:t>10</w:t>
                            </w:r>
                          </w:p>
                          <w:p w14:paraId="1EF02F0B" w14:textId="2423C736" w:rsidR="00A34EF5" w:rsidRPr="00BD2641" w:rsidRDefault="00A34EF5" w:rsidP="008C7C9C">
                            <w:pPr>
                              <w:spacing w:after="120"/>
                              <w:ind w:left="284"/>
                              <w:jc w:val="both"/>
                              <w:rPr>
                                <w:lang w:eastAsia="de-DE"/>
                              </w:rPr>
                            </w:pPr>
                            <w:r w:rsidRPr="00BD2641">
                              <w:rPr>
                                <w:lang w:eastAsia="de-DE"/>
                              </w:rPr>
                              <w:t>SEN63C:</w:t>
                            </w:r>
                            <w:r w:rsidR="00C81CE6" w:rsidRPr="00BD2641">
                              <w:rPr>
                                <w:vertAlign w:val="subscript"/>
                                <w:lang w:eastAsia="de-DE"/>
                              </w:rPr>
                              <w:t xml:space="preserve"> </w:t>
                            </w:r>
                            <w:r w:rsidR="00BD2641" w:rsidRPr="00BD2641">
                              <w:rPr>
                                <w:lang w:eastAsia="de-DE"/>
                              </w:rPr>
                              <w:t>PM, RH, T, CO</w:t>
                            </w:r>
                            <w:r w:rsidR="00BD2641" w:rsidRPr="00BD2641">
                              <w:rPr>
                                <w:vertAlign w:val="subscript"/>
                                <w:lang w:eastAsia="de-DE"/>
                              </w:rPr>
                              <w:t>2</w:t>
                            </w:r>
                          </w:p>
                          <w:p w14:paraId="2D795136" w14:textId="1CE2FF92" w:rsidR="00A528A1" w:rsidRDefault="00A528A1" w:rsidP="008C7C9C">
                            <w:pPr>
                              <w:spacing w:after="120"/>
                              <w:ind w:left="284"/>
                              <w:jc w:val="both"/>
                              <w:rPr>
                                <w:lang w:eastAsia="de-DE"/>
                              </w:rPr>
                            </w:pPr>
                            <w:r>
                              <w:rPr>
                                <w:lang w:eastAsia="de-DE"/>
                              </w:rPr>
                              <w:t xml:space="preserve">SEN65: PM, RH, T, VOC, NOx </w:t>
                            </w:r>
                          </w:p>
                          <w:p w14:paraId="380DF75C" w14:textId="2F9E11C5" w:rsidR="00A528A1" w:rsidRPr="003C375E" w:rsidRDefault="00A528A1" w:rsidP="003C375E">
                            <w:pPr>
                              <w:spacing w:after="120"/>
                              <w:ind w:left="284"/>
                              <w:jc w:val="both"/>
                              <w:rPr>
                                <w:lang w:eastAsia="de-DE"/>
                              </w:rPr>
                            </w:pPr>
                            <w:r>
                              <w:rPr>
                                <w:lang w:eastAsia="de-DE"/>
                              </w:rPr>
                              <w:t>SEN66: PM, RH, T, VOC, NOx, CO</w:t>
                            </w:r>
                            <w:r w:rsidRPr="003C375E">
                              <w:rPr>
                                <w:vertAlign w:val="subscript"/>
                                <w:lang w:eastAsia="de-DE"/>
                              </w:rPr>
                              <w:t>2</w:t>
                            </w:r>
                          </w:p>
                          <w:p w14:paraId="32B1AFC4" w14:textId="359F463D" w:rsidR="003C375E" w:rsidRDefault="003C375E" w:rsidP="003C375E">
                            <w:pPr>
                              <w:spacing w:after="240"/>
                              <w:ind w:left="284"/>
                              <w:jc w:val="both"/>
                              <w:rPr>
                                <w:lang w:eastAsia="de-DE"/>
                              </w:rPr>
                            </w:pPr>
                            <w:r w:rsidRPr="003C375E">
                              <w:rPr>
                                <w:lang w:eastAsia="de-DE"/>
                              </w:rPr>
                              <w:t xml:space="preserve">SEN68: </w:t>
                            </w:r>
                            <w:r>
                              <w:rPr>
                                <w:lang w:eastAsia="de-DE"/>
                              </w:rPr>
                              <w:t>PM, RH, T, VOC, NOx, HCHO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38A376F" id="_x0000_s1027" type="#_x0000_t202" style="position:absolute;left:0;text-align:left;margin-left:260.75pt;margin-top:10.75pt;width:195.7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" fillcolor="#f1f1f1 [670]" stroked="f">
                <v:textbox style="mso-fit-shape-to-text:t">
                  <w:txbxContent>
                    <w:p w14:paraId="6D55AA55" w14:textId="65545CFA" w:rsidR="00A528A1" w:rsidRPr="003C375E" w:rsidRDefault="00A528A1" w:rsidP="008C7C9C">
                      <w:pPr>
                        <w:spacing w:before="240" w:after="240"/>
                        <w:ind w:left="284"/>
                        <w:jc w:val="both"/>
                        <w:rPr>
                          <w:rFonts w:asciiTheme="majorHAnsi" w:hAnsiTheme="majorHAnsi" w:cstheme="majorHAnsi"/>
                          <w:lang w:eastAsia="de-DE"/>
                        </w:rPr>
                      </w:pPr>
                      <w:r w:rsidRPr="003C375E">
                        <w:rPr>
                          <w:rFonts w:asciiTheme="majorHAnsi" w:hAnsiTheme="majorHAnsi" w:cstheme="majorHAnsi"/>
                          <w:lang w:eastAsia="de-DE"/>
                        </w:rPr>
                        <w:t>SEN6x modularity</w:t>
                      </w:r>
                    </w:p>
                    <w:p w14:paraId="0A745F51" w14:textId="541CEE67" w:rsidR="00A528A1" w:rsidRDefault="00A528A1" w:rsidP="008C7C9C">
                      <w:pPr>
                        <w:spacing w:after="120"/>
                        <w:ind w:left="284"/>
                        <w:jc w:val="both"/>
                        <w:rPr>
                          <w:vertAlign w:val="subscript"/>
                          <w:lang w:eastAsia="de-DE"/>
                        </w:rPr>
                      </w:pPr>
                      <w:r>
                        <w:rPr>
                          <w:lang w:eastAsia="de-DE"/>
                        </w:rPr>
                        <w:t>SEN60: PM</w:t>
                      </w:r>
                      <w:r w:rsidRPr="003C375E">
                        <w:rPr>
                          <w:vertAlign w:val="subscript"/>
                          <w:lang w:eastAsia="de-DE"/>
                        </w:rPr>
                        <w:t>1</w:t>
                      </w:r>
                      <w:r>
                        <w:rPr>
                          <w:lang w:eastAsia="de-DE"/>
                        </w:rPr>
                        <w:t>, PM</w:t>
                      </w:r>
                      <w:r w:rsidRPr="003C375E">
                        <w:rPr>
                          <w:vertAlign w:val="subscript"/>
                          <w:lang w:eastAsia="de-DE"/>
                        </w:rPr>
                        <w:t>2.5</w:t>
                      </w:r>
                      <w:r>
                        <w:rPr>
                          <w:lang w:eastAsia="de-DE"/>
                        </w:rPr>
                        <w:t>, PM</w:t>
                      </w:r>
                      <w:r w:rsidRPr="003C375E">
                        <w:rPr>
                          <w:vertAlign w:val="subscript"/>
                          <w:lang w:eastAsia="de-DE"/>
                        </w:rPr>
                        <w:t>4</w:t>
                      </w:r>
                      <w:r>
                        <w:rPr>
                          <w:lang w:eastAsia="de-DE"/>
                        </w:rPr>
                        <w:t>, PM</w:t>
                      </w:r>
                      <w:r w:rsidRPr="003C375E">
                        <w:rPr>
                          <w:vertAlign w:val="subscript"/>
                          <w:lang w:eastAsia="de-DE"/>
                        </w:rPr>
                        <w:t>10</w:t>
                      </w:r>
                    </w:p>
                    <w:p w14:paraId="1EF02F0B" w14:textId="2423C736" w:rsidR="00A34EF5" w:rsidRPr="00BD2641" w:rsidRDefault="00A34EF5" w:rsidP="008C7C9C">
                      <w:pPr>
                        <w:spacing w:after="120"/>
                        <w:ind w:left="284"/>
                        <w:jc w:val="both"/>
                        <w:rPr>
                          <w:lang w:eastAsia="de-DE"/>
                        </w:rPr>
                      </w:pPr>
                      <w:r w:rsidRPr="00BD2641">
                        <w:rPr>
                          <w:lang w:eastAsia="de-DE"/>
                        </w:rPr>
                        <w:t>SEN63C:</w:t>
                      </w:r>
                      <w:r w:rsidR="00C81CE6" w:rsidRPr="00BD2641">
                        <w:rPr>
                          <w:vertAlign w:val="subscript"/>
                          <w:lang w:eastAsia="de-DE"/>
                        </w:rPr>
                        <w:t xml:space="preserve"> </w:t>
                      </w:r>
                      <w:r w:rsidR="00BD2641" w:rsidRPr="00BD2641">
                        <w:rPr>
                          <w:lang w:eastAsia="de-DE"/>
                        </w:rPr>
                        <w:t>PM, RH, T, CO</w:t>
                      </w:r>
                      <w:r w:rsidR="00BD2641" w:rsidRPr="00BD2641">
                        <w:rPr>
                          <w:vertAlign w:val="subscript"/>
                          <w:lang w:eastAsia="de-DE"/>
                        </w:rPr>
                        <w:t>2</w:t>
                      </w:r>
                    </w:p>
                    <w:p w14:paraId="2D795136" w14:textId="1CE2FF92" w:rsidR="00A528A1" w:rsidRDefault="00A528A1" w:rsidP="008C7C9C">
                      <w:pPr>
                        <w:spacing w:after="120"/>
                        <w:ind w:left="284"/>
                        <w:jc w:val="both"/>
                        <w:rPr>
                          <w:lang w:eastAsia="de-DE"/>
                        </w:rPr>
                      </w:pPr>
                      <w:r>
                        <w:rPr>
                          <w:lang w:eastAsia="de-DE"/>
                        </w:rPr>
                        <w:t xml:space="preserve">SEN65: PM, RH, T, VOC, NOx </w:t>
                      </w:r>
                    </w:p>
                    <w:p w14:paraId="380DF75C" w14:textId="2F9E11C5" w:rsidR="00A528A1" w:rsidRPr="003C375E" w:rsidRDefault="00A528A1" w:rsidP="003C375E">
                      <w:pPr>
                        <w:spacing w:after="120"/>
                        <w:ind w:left="284"/>
                        <w:jc w:val="both"/>
                        <w:rPr>
                          <w:lang w:eastAsia="de-DE"/>
                        </w:rPr>
                      </w:pPr>
                      <w:r>
                        <w:rPr>
                          <w:lang w:eastAsia="de-DE"/>
                        </w:rPr>
                        <w:t>SEN66: PM, RH, T, VOC, NOx, CO</w:t>
                      </w:r>
                      <w:r w:rsidRPr="003C375E">
                        <w:rPr>
                          <w:vertAlign w:val="subscript"/>
                          <w:lang w:eastAsia="de-DE"/>
                        </w:rPr>
                        <w:t>2</w:t>
                      </w:r>
                    </w:p>
                    <w:p w14:paraId="32B1AFC4" w14:textId="359F463D" w:rsidR="003C375E" w:rsidRDefault="003C375E" w:rsidP="003C375E">
                      <w:pPr>
                        <w:spacing w:after="240"/>
                        <w:ind w:left="284"/>
                        <w:jc w:val="both"/>
                        <w:rPr>
                          <w:lang w:eastAsia="de-DE"/>
                        </w:rPr>
                      </w:pPr>
                      <w:r w:rsidRPr="003C375E">
                        <w:rPr>
                          <w:lang w:eastAsia="de-DE"/>
                        </w:rPr>
                        <w:t xml:space="preserve">SEN68: </w:t>
                      </w:r>
                      <w:r>
                        <w:rPr>
                          <w:lang w:eastAsia="de-DE"/>
                        </w:rPr>
                        <w:t>PM, RH, T, VOC, NOx, HCHO</w:t>
                      </w:r>
                    </w:p>
                  </w:txbxContent>
                </v:textbox>
                <w10:wrap type="square"/>
              </v:shape>
            </w:pict>
          </mc:Fallback>
        </mc:AlternateContent>
      </w:r>
    </w:p>
    <w:p w14:paraId="749356FA" w14:textId="23F1BC4D" w:rsidR="00876D65" w:rsidRDefault="008C7C9C" w:rsidP="00876D65">
      <w:pPr>
        <w:jc w:val="both"/>
        <w:rPr>
          <w:lang w:eastAsia="de-DE"/>
        </w:rPr>
      </w:pPr>
      <w:r>
        <w:rPr>
          <w:lang w:eastAsia="de-DE"/>
        </w:rPr>
        <w:t>A key feature of</w:t>
      </w:r>
      <w:r w:rsidR="00876D65" w:rsidRPr="00876D65">
        <w:rPr>
          <w:lang w:eastAsia="de-DE"/>
        </w:rPr>
        <w:t xml:space="preserve"> the SEN6x series is its modular approach. With a single design-in, </w:t>
      </w:r>
      <w:r w:rsidRPr="008C7C9C">
        <w:rPr>
          <w:lang w:eastAsia="de-DE"/>
        </w:rPr>
        <w:t>multiple product tiers can be easily supported, providing exceptional flexibility and enabling customized solutions for diverse market needs.</w:t>
      </w:r>
      <w:r w:rsidR="00876D65" w:rsidRPr="00876D65">
        <w:rPr>
          <w:lang w:eastAsia="de-DE"/>
        </w:rPr>
        <w:t xml:space="preserve"> </w:t>
      </w:r>
      <w:r w:rsidRPr="008C7C9C">
        <w:rPr>
          <w:lang w:eastAsia="de-DE"/>
        </w:rPr>
        <w:t>Whether for particulate matter</w:t>
      </w:r>
      <w:r w:rsidR="00DB0292">
        <w:rPr>
          <w:lang w:eastAsia="de-DE"/>
        </w:rPr>
        <w:t xml:space="preserve"> (PM)</w:t>
      </w:r>
      <w:r w:rsidRPr="008C7C9C">
        <w:rPr>
          <w:lang w:eastAsia="de-DE"/>
        </w:rPr>
        <w:t xml:space="preserve"> measurements</w:t>
      </w:r>
      <w:r w:rsidR="00876D65" w:rsidRPr="00876D65">
        <w:rPr>
          <w:lang w:eastAsia="de-DE"/>
        </w:rPr>
        <w:t xml:space="preserve"> or a comprehensive set of air quality parameters—</w:t>
      </w:r>
      <w:r>
        <w:rPr>
          <w:lang w:eastAsia="de-DE"/>
        </w:rPr>
        <w:t>including</w:t>
      </w:r>
      <w:r w:rsidR="00876D65" w:rsidRPr="00876D65">
        <w:rPr>
          <w:lang w:eastAsia="de-DE"/>
        </w:rPr>
        <w:t xml:space="preserve"> temperature</w:t>
      </w:r>
      <w:r>
        <w:rPr>
          <w:lang w:eastAsia="de-DE"/>
        </w:rPr>
        <w:t xml:space="preserve"> (T)</w:t>
      </w:r>
      <w:r w:rsidR="00876D65" w:rsidRPr="00876D65">
        <w:rPr>
          <w:lang w:eastAsia="de-DE"/>
        </w:rPr>
        <w:t xml:space="preserve">, </w:t>
      </w:r>
      <w:r>
        <w:rPr>
          <w:lang w:eastAsia="de-DE"/>
        </w:rPr>
        <w:t xml:space="preserve">relative </w:t>
      </w:r>
      <w:r w:rsidR="00876D65" w:rsidRPr="00876D65">
        <w:rPr>
          <w:lang w:eastAsia="de-DE"/>
        </w:rPr>
        <w:t>humidity</w:t>
      </w:r>
      <w:r>
        <w:rPr>
          <w:lang w:eastAsia="de-DE"/>
        </w:rPr>
        <w:t xml:space="preserve"> (RH)</w:t>
      </w:r>
      <w:r w:rsidR="00876D65" w:rsidRPr="00876D65">
        <w:rPr>
          <w:lang w:eastAsia="de-DE"/>
        </w:rPr>
        <w:t>, volatile organic compounds (VOC), nitrogen oxides (NOx), carbon dioxide (CO</w:t>
      </w:r>
      <w:r w:rsidR="00876D65" w:rsidRPr="00F65887">
        <w:rPr>
          <w:vertAlign w:val="subscript"/>
          <w:lang w:eastAsia="de-DE"/>
        </w:rPr>
        <w:t>2</w:t>
      </w:r>
      <w:r w:rsidR="00876D65" w:rsidRPr="00876D65">
        <w:rPr>
          <w:lang w:eastAsia="de-DE"/>
        </w:rPr>
        <w:t>), or formaldehyde</w:t>
      </w:r>
      <w:r w:rsidR="003C375E">
        <w:rPr>
          <w:lang w:eastAsia="de-DE"/>
        </w:rPr>
        <w:t xml:space="preserve"> (HCHO)</w:t>
      </w:r>
      <w:r w:rsidR="00876D65" w:rsidRPr="00876D65">
        <w:rPr>
          <w:lang w:eastAsia="de-DE"/>
        </w:rPr>
        <w:t>—the SEN6x offers a scalable, all-encompassing solution.</w:t>
      </w:r>
    </w:p>
    <w:p w14:paraId="7668329E" w14:textId="03A5A272" w:rsidR="007F398B" w:rsidRDefault="007F398B" w:rsidP="00876D65">
      <w:pPr>
        <w:jc w:val="both"/>
        <w:rPr>
          <w:lang w:eastAsia="de-DE"/>
        </w:rPr>
      </w:pPr>
    </w:p>
    <w:p w14:paraId="06DFB973" w14:textId="43F8DC66" w:rsidR="00002351" w:rsidRDefault="00002351" w:rsidP="00876D65">
      <w:pPr>
        <w:jc w:val="both"/>
        <w:rPr>
          <w:lang w:eastAsia="de-DE"/>
        </w:rPr>
      </w:pPr>
    </w:p>
    <w:p w14:paraId="04A9B304" w14:textId="2D631887" w:rsidR="00876D65" w:rsidRDefault="00570334" w:rsidP="00876D65">
      <w:pPr>
        <w:jc w:val="both"/>
        <w:rPr>
          <w:lang w:eastAsia="de-DE"/>
        </w:rPr>
      </w:pPr>
      <w:r>
        <w:rPr>
          <w:lang w:eastAsia="de-DE"/>
        </w:rPr>
        <w:t>“</w:t>
      </w:r>
      <w:r w:rsidR="003C375E" w:rsidRPr="003C375E">
        <w:rPr>
          <w:lang w:eastAsia="de-DE"/>
        </w:rPr>
        <w:t>The SEK-SEN66 evaluation kit is now available for purchase through Sensirion’s global distribution network, providing the opportunity to test and evaluate the sensors</w:t>
      </w:r>
      <w:r w:rsidR="00F65887">
        <w:rPr>
          <w:lang w:eastAsia="de-DE"/>
        </w:rPr>
        <w:t>’</w:t>
      </w:r>
      <w:r w:rsidR="003C375E" w:rsidRPr="003C375E">
        <w:rPr>
          <w:lang w:eastAsia="de-DE"/>
        </w:rPr>
        <w:t xml:space="preserve"> extensive capabilities firsthand. Designed to accelerate product development, the evaluation kit is an ideal tool for businesses looking to implement advanced air quality monitoring solutions</w:t>
      </w:r>
      <w:r w:rsidR="00385BB5">
        <w:rPr>
          <w:lang w:eastAsia="de-DE"/>
        </w:rPr>
        <w:t xml:space="preserve">”, says David Carminati, </w:t>
      </w:r>
      <w:r w:rsidR="00385BB5" w:rsidRPr="00E80988">
        <w:rPr>
          <w:lang w:eastAsia="de-DE"/>
        </w:rPr>
        <w:t>Product Manager for Environmental Nodes at Sensirion.</w:t>
      </w:r>
    </w:p>
    <w:p w14:paraId="0837F023" w14:textId="77777777" w:rsidR="003C375E" w:rsidRPr="00876D65" w:rsidRDefault="003C375E" w:rsidP="00876D65">
      <w:pPr>
        <w:jc w:val="both"/>
        <w:rPr>
          <w:lang w:eastAsia="de-DE"/>
        </w:rPr>
      </w:pPr>
    </w:p>
    <w:p w14:paraId="19E0D55F" w14:textId="55BC60C4" w:rsidR="00876D65" w:rsidRPr="00876D65" w:rsidRDefault="00876D65" w:rsidP="00876D65">
      <w:pPr>
        <w:jc w:val="both"/>
        <w:rPr>
          <w:lang w:eastAsia="de-DE"/>
        </w:rPr>
      </w:pPr>
      <w:r w:rsidRPr="00876D65">
        <w:rPr>
          <w:lang w:eastAsia="de-DE"/>
        </w:rPr>
        <w:t xml:space="preserve">For more information or to purchase the SEK-SEN66 evaluation kit, visit </w:t>
      </w:r>
      <w:hyperlink r:id="rId12" w:history="1">
        <w:r w:rsidR="005F0FA6" w:rsidRPr="005F0FA6">
          <w:rPr>
            <w:rStyle w:val="Hyperlink"/>
            <w:lang w:eastAsia="de-DE"/>
          </w:rPr>
          <w:t>their website</w:t>
        </w:r>
      </w:hyperlink>
      <w:r w:rsidRPr="00876D65">
        <w:rPr>
          <w:lang w:eastAsia="de-DE"/>
        </w:rPr>
        <w:t xml:space="preserve"> or contact your local Sensirion distributor.</w:t>
      </w:r>
    </w:p>
    <w:p w14:paraId="6719B1FE" w14:textId="49DAE9CF" w:rsidR="007F398B" w:rsidRDefault="007F398B" w:rsidP="00876D65">
      <w:pPr>
        <w:jc w:val="both"/>
        <w:rPr>
          <w:lang w:eastAsia="de-DE"/>
        </w:rPr>
      </w:pPr>
    </w:p>
    <w:p w14:paraId="58956DD7" w14:textId="6D04F17F" w:rsidR="00DE20EB" w:rsidRDefault="00DE20EB" w:rsidP="00BA7BDA">
      <w:pPr>
        <w:spacing w:line="240" w:lineRule="auto"/>
        <w:rPr>
          <w:lang w:eastAsia="de-DE"/>
        </w:rPr>
      </w:pPr>
    </w:p>
    <w:p w14:paraId="61A63C84" w14:textId="77777777" w:rsidR="000F3F25" w:rsidRDefault="000F3F25" w:rsidP="00BA7BDA">
      <w:pPr>
        <w:spacing w:line="240" w:lineRule="auto"/>
        <w:rPr>
          <w:lang w:eastAsia="de-DE"/>
        </w:rPr>
      </w:pPr>
    </w:p>
    <w:p w14:paraId="7843F056" w14:textId="6168111F" w:rsidR="000F3F25" w:rsidRDefault="000F3F25">
      <w:pPr>
        <w:spacing w:line="240" w:lineRule="auto"/>
        <w:rPr>
          <w:lang w:eastAsia="de-DE"/>
        </w:rPr>
      </w:pPr>
      <w:r>
        <w:rPr>
          <w:lang w:eastAsia="de-DE"/>
        </w:rPr>
        <w:br w:type="page"/>
      </w:r>
    </w:p>
    <w:p w14:paraId="4579FD24" w14:textId="77777777" w:rsidR="000F3F25" w:rsidRPr="000F3F25" w:rsidRDefault="000F3F25" w:rsidP="000F3F25">
      <w:pPr>
        <w:spacing w:line="240" w:lineRule="auto"/>
        <w:rPr>
          <w:lang w:eastAsia="de-DE"/>
        </w:rPr>
      </w:pPr>
    </w:p>
    <w:p w14:paraId="73F11914" w14:textId="77777777" w:rsidR="000F3F25" w:rsidRPr="000F3F25" w:rsidRDefault="000F3F25" w:rsidP="000F3F25">
      <w:pPr>
        <w:spacing w:line="240" w:lineRule="auto"/>
        <w:rPr>
          <w:lang w:eastAsia="de-DE"/>
        </w:rPr>
      </w:pPr>
    </w:p>
    <w:p w14:paraId="49D81CD7" w14:textId="77777777" w:rsidR="000F3F25" w:rsidRDefault="000F3F25" w:rsidP="000F3F25">
      <w:pPr>
        <w:pBdr>
          <w:top w:val="single" w:sz="4" w:space="1" w:color="auto"/>
        </w:pBdr>
        <w:spacing w:line="240" w:lineRule="auto"/>
        <w:rPr>
          <w:b/>
          <w:bCs/>
          <w:lang w:eastAsia="de-DE"/>
        </w:rPr>
      </w:pPr>
    </w:p>
    <w:p w14:paraId="035C0DA7" w14:textId="7B821E7A" w:rsidR="000F3F25" w:rsidRPr="000F3F25" w:rsidRDefault="000F3F25" w:rsidP="000F3F25">
      <w:pPr>
        <w:pBdr>
          <w:top w:val="single" w:sz="4" w:space="1" w:color="auto"/>
        </w:pBdr>
        <w:spacing w:line="240" w:lineRule="auto"/>
        <w:rPr>
          <w:b/>
          <w:bCs/>
          <w:lang w:eastAsia="de-DE"/>
        </w:rPr>
      </w:pPr>
      <w:r w:rsidRPr="000F3F25">
        <w:rPr>
          <w:b/>
          <w:bCs/>
          <w:lang w:eastAsia="de-DE"/>
        </w:rPr>
        <w:t>About Sensirion – Experts for Environmental and Flow Sensor Solutions</w:t>
      </w:r>
    </w:p>
    <w:p w14:paraId="7D847D08" w14:textId="77777777" w:rsidR="000F3F25" w:rsidRPr="000F3F25" w:rsidRDefault="000F3F25" w:rsidP="00B55DBC">
      <w:pPr>
        <w:spacing w:line="240" w:lineRule="auto"/>
        <w:jc w:val="both"/>
        <w:rPr>
          <w:lang w:eastAsia="de-DE"/>
        </w:rPr>
      </w:pPr>
      <w:r w:rsidRPr="000F3F25">
        <w:rPr>
          <w:lang w:eastAsia="de-DE"/>
        </w:rPr>
        <w:t xml:space="preserve">Sensirion is one of the world’s leading developers and manufacturers of sensors and sensor solutions that improve efficiency, health, safety, and comfort. Founded in 1998, Sensirion now employs around 1’000 people at its headquarters in </w:t>
      </w:r>
      <w:proofErr w:type="spellStart"/>
      <w:r w:rsidRPr="000F3F25">
        <w:rPr>
          <w:lang w:eastAsia="de-DE"/>
        </w:rPr>
        <w:t>Stäfa</w:t>
      </w:r>
      <w:proofErr w:type="spellEnd"/>
      <w:r w:rsidRPr="000F3F25">
        <w:rPr>
          <w:lang w:eastAsia="de-DE"/>
        </w:rPr>
        <w:t>, Switzerland and in numerous international subsidiaries. Sensirion sensors can be used to measure a wide range of environmental parameters and flow rates precisely and reliably. The company’s aim is to make the world smarter with pioneering sensor technology. As a pioneer in innovation, Sensirion develops solutions for the specific needs of customers and partners from the automotive, industrial, medical technology and consumer electronics markets, as well as high-quality products for cost-efficient mass production. More information and current key figures at www.sensirion.com.</w:t>
      </w:r>
    </w:p>
    <w:p w14:paraId="7065B218" w14:textId="77777777" w:rsidR="000F3F25" w:rsidRPr="001D1624" w:rsidRDefault="000F3F25" w:rsidP="00BA7BDA">
      <w:pPr>
        <w:spacing w:line="240" w:lineRule="auto"/>
        <w:rPr>
          <w:lang w:eastAsia="de-DE"/>
        </w:rPr>
      </w:pPr>
    </w:p>
    <w:sectPr w:rsidR="000F3F25" w:rsidRPr="001D1624"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2F2C63" w14:textId="77777777" w:rsidR="003053B1" w:rsidRDefault="003053B1" w:rsidP="0054380F">
      <w:pPr>
        <w:spacing w:line="240" w:lineRule="auto"/>
      </w:pPr>
      <w:r>
        <w:separator/>
      </w:r>
    </w:p>
  </w:endnote>
  <w:endnote w:type="continuationSeparator" w:id="0">
    <w:p w14:paraId="0A71C73C" w14:textId="77777777" w:rsidR="003053B1" w:rsidRDefault="003053B1" w:rsidP="0054380F">
      <w:pPr>
        <w:spacing w:line="240" w:lineRule="auto"/>
      </w:pPr>
      <w:r>
        <w:continuationSeparator/>
      </w:r>
    </w:p>
  </w:endnote>
  <w:endnote w:type="continuationNotice" w:id="1">
    <w:p w14:paraId="57259399" w14:textId="77777777" w:rsidR="003053B1" w:rsidRDefault="003053B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62B34"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9C0C3"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FC7CB8" w14:textId="77777777" w:rsidR="003053B1" w:rsidRDefault="003053B1" w:rsidP="0054380F">
      <w:pPr>
        <w:spacing w:line="240" w:lineRule="auto"/>
      </w:pPr>
      <w:r>
        <w:separator/>
      </w:r>
    </w:p>
  </w:footnote>
  <w:footnote w:type="continuationSeparator" w:id="0">
    <w:p w14:paraId="20173BAD" w14:textId="77777777" w:rsidR="003053B1" w:rsidRDefault="003053B1" w:rsidP="0054380F">
      <w:pPr>
        <w:spacing w:line="240" w:lineRule="auto"/>
      </w:pPr>
      <w:r>
        <w:continuationSeparator/>
      </w:r>
    </w:p>
  </w:footnote>
  <w:footnote w:type="continuationNotice" w:id="1">
    <w:p w14:paraId="125A2D11" w14:textId="77777777" w:rsidR="003053B1" w:rsidRDefault="003053B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EF692" w14:textId="77777777" w:rsidR="00D44150" w:rsidRDefault="00661641">
    <w:pPr>
      <w:pStyle w:val="Header"/>
    </w:pPr>
    <w:r>
      <w:rPr>
        <w:noProof/>
      </w:rPr>
      <w:drawing>
        <wp:anchor distT="0" distB="0" distL="0" distR="0" simplePos="0" relativeHeight="251658240" behindDoc="1" locked="1" layoutInCell="1" allowOverlap="1" wp14:anchorId="6536E1EB" wp14:editId="0585D45C">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64666" w14:textId="77777777" w:rsidR="00D44150" w:rsidRDefault="00EE0CB5">
    <w:pPr>
      <w:pStyle w:val="Header"/>
    </w:pPr>
    <w:r>
      <w:rPr>
        <w:noProof/>
      </w:rPr>
      <w:drawing>
        <wp:anchor distT="0" distB="0" distL="114300" distR="114300" simplePos="0" relativeHeight="251658241" behindDoc="1" locked="0" layoutInCell="1" allowOverlap="1" wp14:anchorId="7A3074AE" wp14:editId="2FF93E4F">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624"/>
    <w:rsid w:val="00002351"/>
    <w:rsid w:val="0002134E"/>
    <w:rsid w:val="0002682B"/>
    <w:rsid w:val="000406CD"/>
    <w:rsid w:val="000700BD"/>
    <w:rsid w:val="00071744"/>
    <w:rsid w:val="000718AC"/>
    <w:rsid w:val="00071AE2"/>
    <w:rsid w:val="0007341D"/>
    <w:rsid w:val="000903CE"/>
    <w:rsid w:val="00096D1E"/>
    <w:rsid w:val="000B2869"/>
    <w:rsid w:val="000D523B"/>
    <w:rsid w:val="000D7F02"/>
    <w:rsid w:val="000F0F48"/>
    <w:rsid w:val="000F24EC"/>
    <w:rsid w:val="000F3F25"/>
    <w:rsid w:val="000F4CED"/>
    <w:rsid w:val="00102207"/>
    <w:rsid w:val="00112447"/>
    <w:rsid w:val="00114D80"/>
    <w:rsid w:val="001156D3"/>
    <w:rsid w:val="00124F40"/>
    <w:rsid w:val="001350D5"/>
    <w:rsid w:val="00151C8E"/>
    <w:rsid w:val="001611AF"/>
    <w:rsid w:val="001665A6"/>
    <w:rsid w:val="001B29A6"/>
    <w:rsid w:val="001D1624"/>
    <w:rsid w:val="001D5236"/>
    <w:rsid w:val="001E1FA7"/>
    <w:rsid w:val="001E282A"/>
    <w:rsid w:val="001E6D3A"/>
    <w:rsid w:val="001F64C6"/>
    <w:rsid w:val="00227D72"/>
    <w:rsid w:val="002779AB"/>
    <w:rsid w:val="002F53B8"/>
    <w:rsid w:val="002F75B2"/>
    <w:rsid w:val="003053B1"/>
    <w:rsid w:val="003067D8"/>
    <w:rsid w:val="0033350F"/>
    <w:rsid w:val="00345AD8"/>
    <w:rsid w:val="00365915"/>
    <w:rsid w:val="00372AC0"/>
    <w:rsid w:val="00374196"/>
    <w:rsid w:val="00384A16"/>
    <w:rsid w:val="00385BB5"/>
    <w:rsid w:val="00387466"/>
    <w:rsid w:val="0039299E"/>
    <w:rsid w:val="00395AB5"/>
    <w:rsid w:val="003A04C5"/>
    <w:rsid w:val="003B54EB"/>
    <w:rsid w:val="003C375E"/>
    <w:rsid w:val="003E3705"/>
    <w:rsid w:val="00401A91"/>
    <w:rsid w:val="00411C9F"/>
    <w:rsid w:val="00442153"/>
    <w:rsid w:val="004448D2"/>
    <w:rsid w:val="004617F5"/>
    <w:rsid w:val="0047464B"/>
    <w:rsid w:val="004754CC"/>
    <w:rsid w:val="00483F63"/>
    <w:rsid w:val="0049233D"/>
    <w:rsid w:val="00495788"/>
    <w:rsid w:val="004B38CA"/>
    <w:rsid w:val="004B495C"/>
    <w:rsid w:val="004B6F57"/>
    <w:rsid w:val="004C0541"/>
    <w:rsid w:val="004E43D0"/>
    <w:rsid w:val="004E47E0"/>
    <w:rsid w:val="005007DF"/>
    <w:rsid w:val="00505EAC"/>
    <w:rsid w:val="00525615"/>
    <w:rsid w:val="00527B1E"/>
    <w:rsid w:val="0054380F"/>
    <w:rsid w:val="00550233"/>
    <w:rsid w:val="00570334"/>
    <w:rsid w:val="00582B6A"/>
    <w:rsid w:val="00584D18"/>
    <w:rsid w:val="00592B46"/>
    <w:rsid w:val="005C0352"/>
    <w:rsid w:val="005E7EB2"/>
    <w:rsid w:val="005F0FA6"/>
    <w:rsid w:val="005F24E3"/>
    <w:rsid w:val="0061052A"/>
    <w:rsid w:val="006227DA"/>
    <w:rsid w:val="00661641"/>
    <w:rsid w:val="00665C7D"/>
    <w:rsid w:val="006A5423"/>
    <w:rsid w:val="006C4645"/>
    <w:rsid w:val="006D30A0"/>
    <w:rsid w:val="006E5C06"/>
    <w:rsid w:val="00703360"/>
    <w:rsid w:val="007267E3"/>
    <w:rsid w:val="00726EA9"/>
    <w:rsid w:val="007B0CAA"/>
    <w:rsid w:val="007F398B"/>
    <w:rsid w:val="00801670"/>
    <w:rsid w:val="00811948"/>
    <w:rsid w:val="00832F96"/>
    <w:rsid w:val="00836E0B"/>
    <w:rsid w:val="00840AA5"/>
    <w:rsid w:val="00857B9C"/>
    <w:rsid w:val="00876D65"/>
    <w:rsid w:val="008C3807"/>
    <w:rsid w:val="008C59CA"/>
    <w:rsid w:val="008C7C9C"/>
    <w:rsid w:val="00923720"/>
    <w:rsid w:val="009249ED"/>
    <w:rsid w:val="00935B8D"/>
    <w:rsid w:val="00936C4F"/>
    <w:rsid w:val="00957A44"/>
    <w:rsid w:val="00964ADD"/>
    <w:rsid w:val="00974728"/>
    <w:rsid w:val="00986756"/>
    <w:rsid w:val="00995A26"/>
    <w:rsid w:val="009B79F3"/>
    <w:rsid w:val="009C0788"/>
    <w:rsid w:val="009C43FC"/>
    <w:rsid w:val="009D2A77"/>
    <w:rsid w:val="009E32A0"/>
    <w:rsid w:val="009E5A33"/>
    <w:rsid w:val="00A10CC5"/>
    <w:rsid w:val="00A131A9"/>
    <w:rsid w:val="00A13980"/>
    <w:rsid w:val="00A32015"/>
    <w:rsid w:val="00A325E4"/>
    <w:rsid w:val="00A34EF5"/>
    <w:rsid w:val="00A353C1"/>
    <w:rsid w:val="00A528A1"/>
    <w:rsid w:val="00A5624A"/>
    <w:rsid w:val="00A70900"/>
    <w:rsid w:val="00A71276"/>
    <w:rsid w:val="00A722D2"/>
    <w:rsid w:val="00A77F81"/>
    <w:rsid w:val="00A9042D"/>
    <w:rsid w:val="00A93798"/>
    <w:rsid w:val="00AA5F6F"/>
    <w:rsid w:val="00AB465E"/>
    <w:rsid w:val="00AD470F"/>
    <w:rsid w:val="00AE1D8A"/>
    <w:rsid w:val="00AE2D2D"/>
    <w:rsid w:val="00AE51C8"/>
    <w:rsid w:val="00AE77FB"/>
    <w:rsid w:val="00AF3525"/>
    <w:rsid w:val="00AF587E"/>
    <w:rsid w:val="00B01418"/>
    <w:rsid w:val="00B0608A"/>
    <w:rsid w:val="00B36BAD"/>
    <w:rsid w:val="00B43297"/>
    <w:rsid w:val="00B54145"/>
    <w:rsid w:val="00B55DBC"/>
    <w:rsid w:val="00B71553"/>
    <w:rsid w:val="00B730FE"/>
    <w:rsid w:val="00B757BD"/>
    <w:rsid w:val="00BA4886"/>
    <w:rsid w:val="00BA7BDA"/>
    <w:rsid w:val="00BB3E79"/>
    <w:rsid w:val="00BD0BEE"/>
    <w:rsid w:val="00BD1648"/>
    <w:rsid w:val="00BD2641"/>
    <w:rsid w:val="00C26093"/>
    <w:rsid w:val="00C3756F"/>
    <w:rsid w:val="00C42A56"/>
    <w:rsid w:val="00C432E6"/>
    <w:rsid w:val="00C5040D"/>
    <w:rsid w:val="00C64E26"/>
    <w:rsid w:val="00C73B16"/>
    <w:rsid w:val="00C81CE6"/>
    <w:rsid w:val="00CF2C8E"/>
    <w:rsid w:val="00CF7230"/>
    <w:rsid w:val="00D06FA3"/>
    <w:rsid w:val="00D269E1"/>
    <w:rsid w:val="00D44150"/>
    <w:rsid w:val="00D44B21"/>
    <w:rsid w:val="00D502C0"/>
    <w:rsid w:val="00D5508C"/>
    <w:rsid w:val="00D601C3"/>
    <w:rsid w:val="00D83E55"/>
    <w:rsid w:val="00D91EAB"/>
    <w:rsid w:val="00D9787E"/>
    <w:rsid w:val="00DA4150"/>
    <w:rsid w:val="00DA5EFF"/>
    <w:rsid w:val="00DB0292"/>
    <w:rsid w:val="00DB58D5"/>
    <w:rsid w:val="00DC7647"/>
    <w:rsid w:val="00DE20EB"/>
    <w:rsid w:val="00E01F44"/>
    <w:rsid w:val="00E20478"/>
    <w:rsid w:val="00E306C2"/>
    <w:rsid w:val="00E32DB8"/>
    <w:rsid w:val="00E37B1D"/>
    <w:rsid w:val="00E76C33"/>
    <w:rsid w:val="00E80988"/>
    <w:rsid w:val="00E94DCD"/>
    <w:rsid w:val="00EC096E"/>
    <w:rsid w:val="00ED119D"/>
    <w:rsid w:val="00EE0CB5"/>
    <w:rsid w:val="00EE28D7"/>
    <w:rsid w:val="00EE748A"/>
    <w:rsid w:val="00EF5079"/>
    <w:rsid w:val="00F07475"/>
    <w:rsid w:val="00F108E3"/>
    <w:rsid w:val="00F12361"/>
    <w:rsid w:val="00F22AED"/>
    <w:rsid w:val="00F40AFE"/>
    <w:rsid w:val="00F4425C"/>
    <w:rsid w:val="00F5617D"/>
    <w:rsid w:val="00F65887"/>
    <w:rsid w:val="00F80C44"/>
    <w:rsid w:val="00FA2046"/>
    <w:rsid w:val="00FB08E7"/>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D13EEA"/>
  <w15:chartTrackingRefBased/>
  <w15:docId w15:val="{3C28BD33-61A2-4FCF-88A8-3A936779D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IntenseQuote">
    <w:name w:val="Intense Quote"/>
    <w:basedOn w:val="Normal"/>
    <w:next w:val="Normal"/>
    <w:link w:val="IntenseQuoteChar"/>
    <w:uiPriority w:val="99"/>
    <w:semiHidden/>
    <w:unhideWhenUsed/>
    <w:qFormat/>
    <w:rsid w:val="001D1624"/>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1D1624"/>
    <w:rPr>
      <w:i/>
      <w:iCs/>
      <w:color w:val="4C9826" w:themeColor="accent1" w:themeShade="BF"/>
    </w:rPr>
  </w:style>
  <w:style w:type="character" w:styleId="IntenseReference">
    <w:name w:val="Intense Reference"/>
    <w:basedOn w:val="DefaultParagraphFont"/>
    <w:uiPriority w:val="99"/>
    <w:semiHidden/>
    <w:unhideWhenUsed/>
    <w:qFormat/>
    <w:rsid w:val="001D1624"/>
    <w:rPr>
      <w:b/>
      <w:bCs/>
      <w:smallCaps/>
      <w:color w:val="4C9826" w:themeColor="accent1" w:themeShade="BF"/>
      <w:spacing w:val="5"/>
    </w:rPr>
  </w:style>
  <w:style w:type="character" w:styleId="CommentReference">
    <w:name w:val="annotation reference"/>
    <w:basedOn w:val="DefaultParagraphFont"/>
    <w:uiPriority w:val="99"/>
    <w:semiHidden/>
    <w:unhideWhenUsed/>
    <w:rsid w:val="00F12361"/>
    <w:rPr>
      <w:sz w:val="16"/>
      <w:szCs w:val="16"/>
    </w:rPr>
  </w:style>
  <w:style w:type="paragraph" w:styleId="CommentText">
    <w:name w:val="annotation text"/>
    <w:basedOn w:val="Normal"/>
    <w:link w:val="CommentTextChar"/>
    <w:uiPriority w:val="99"/>
    <w:unhideWhenUsed/>
    <w:rsid w:val="00F12361"/>
    <w:pPr>
      <w:spacing w:line="240" w:lineRule="auto"/>
    </w:pPr>
  </w:style>
  <w:style w:type="character" w:customStyle="1" w:styleId="CommentTextChar">
    <w:name w:val="Comment Text Char"/>
    <w:basedOn w:val="DefaultParagraphFont"/>
    <w:link w:val="CommentText"/>
    <w:uiPriority w:val="99"/>
    <w:rsid w:val="00F12361"/>
  </w:style>
  <w:style w:type="paragraph" w:styleId="CommentSubject">
    <w:name w:val="annotation subject"/>
    <w:basedOn w:val="CommentText"/>
    <w:next w:val="CommentText"/>
    <w:link w:val="CommentSubjectChar"/>
    <w:uiPriority w:val="99"/>
    <w:semiHidden/>
    <w:unhideWhenUsed/>
    <w:rsid w:val="00F12361"/>
    <w:rPr>
      <w:b/>
      <w:bCs/>
    </w:rPr>
  </w:style>
  <w:style w:type="character" w:customStyle="1" w:styleId="CommentSubjectChar">
    <w:name w:val="Comment Subject Char"/>
    <w:basedOn w:val="CommentTextChar"/>
    <w:link w:val="CommentSubject"/>
    <w:uiPriority w:val="99"/>
    <w:semiHidden/>
    <w:rsid w:val="00F123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85134">
      <w:bodyDiv w:val="1"/>
      <w:marLeft w:val="0"/>
      <w:marRight w:val="0"/>
      <w:marTop w:val="0"/>
      <w:marBottom w:val="0"/>
      <w:divBdr>
        <w:top w:val="none" w:sz="0" w:space="0" w:color="auto"/>
        <w:left w:val="none" w:sz="0" w:space="0" w:color="auto"/>
        <w:bottom w:val="none" w:sz="0" w:space="0" w:color="auto"/>
        <w:right w:val="none" w:sz="0" w:space="0" w:color="auto"/>
      </w:divBdr>
    </w:div>
    <w:div w:id="408380406">
      <w:bodyDiv w:val="1"/>
      <w:marLeft w:val="0"/>
      <w:marRight w:val="0"/>
      <w:marTop w:val="0"/>
      <w:marBottom w:val="0"/>
      <w:divBdr>
        <w:top w:val="none" w:sz="0" w:space="0" w:color="auto"/>
        <w:left w:val="none" w:sz="0" w:space="0" w:color="auto"/>
        <w:bottom w:val="none" w:sz="0" w:space="0" w:color="auto"/>
        <w:right w:val="none" w:sz="0" w:space="0" w:color="auto"/>
      </w:divBdr>
    </w:div>
    <w:div w:id="597830681">
      <w:bodyDiv w:val="1"/>
      <w:marLeft w:val="0"/>
      <w:marRight w:val="0"/>
      <w:marTop w:val="0"/>
      <w:marBottom w:val="0"/>
      <w:divBdr>
        <w:top w:val="none" w:sz="0" w:space="0" w:color="auto"/>
        <w:left w:val="none" w:sz="0" w:space="0" w:color="auto"/>
        <w:bottom w:val="none" w:sz="0" w:space="0" w:color="auto"/>
        <w:right w:val="none" w:sz="0" w:space="0" w:color="auto"/>
      </w:divBdr>
    </w:div>
    <w:div w:id="808672392">
      <w:bodyDiv w:val="1"/>
      <w:marLeft w:val="0"/>
      <w:marRight w:val="0"/>
      <w:marTop w:val="0"/>
      <w:marBottom w:val="0"/>
      <w:divBdr>
        <w:top w:val="none" w:sz="0" w:space="0" w:color="auto"/>
        <w:left w:val="none" w:sz="0" w:space="0" w:color="auto"/>
        <w:bottom w:val="none" w:sz="0" w:space="0" w:color="auto"/>
        <w:right w:val="none" w:sz="0" w:space="0" w:color="auto"/>
      </w:divBdr>
    </w:div>
    <w:div w:id="932280749">
      <w:bodyDiv w:val="1"/>
      <w:marLeft w:val="0"/>
      <w:marRight w:val="0"/>
      <w:marTop w:val="0"/>
      <w:marBottom w:val="0"/>
      <w:divBdr>
        <w:top w:val="none" w:sz="0" w:space="0" w:color="auto"/>
        <w:left w:val="none" w:sz="0" w:space="0" w:color="auto"/>
        <w:bottom w:val="none" w:sz="0" w:space="0" w:color="auto"/>
        <w:right w:val="none" w:sz="0" w:space="0" w:color="auto"/>
      </w:divBdr>
    </w:div>
    <w:div w:id="1141574208">
      <w:bodyDiv w:val="1"/>
      <w:marLeft w:val="0"/>
      <w:marRight w:val="0"/>
      <w:marTop w:val="0"/>
      <w:marBottom w:val="0"/>
      <w:divBdr>
        <w:top w:val="none" w:sz="0" w:space="0" w:color="auto"/>
        <w:left w:val="none" w:sz="0" w:space="0" w:color="auto"/>
        <w:bottom w:val="none" w:sz="0" w:space="0" w:color="auto"/>
        <w:right w:val="none" w:sz="0" w:space="0" w:color="auto"/>
      </w:divBdr>
    </w:div>
    <w:div w:id="1343776469">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 w:id="2118210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nsirion.com/products/catalog/SEK-SEN66"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61623b74ca53c7c83af19a162bc4bfe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84c5dc16f321d7a36a0d88a959d20b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B12D9-C34F-431F-B806-6977F7F96D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3.xml><?xml version="1.0" encoding="utf-8"?>
<ds:datastoreItem xmlns:ds="http://schemas.openxmlformats.org/officeDocument/2006/customXml" ds:itemID="{D6D7CF7A-0851-4313-B2FD-8DB4341E640C}">
  <ds:schemaRefs>
    <ds:schemaRef ds:uri="http://purl.org/dc/elements/1.1/"/>
    <ds:schemaRef ds:uri="http://schemas.microsoft.com/office/2006/metadata/properties"/>
    <ds:schemaRef ds:uri="b1fe39c8-28e8-4fc2-89c1-b80381c4dc8f"/>
    <ds:schemaRef ds:uri="http://schemas.microsoft.com/office/2006/documentManagement/types"/>
    <ds:schemaRef ds:uri="22226ec7-1124-4a59-96a7-46494b53e4e8"/>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2633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32</cp:revision>
  <cp:lastPrinted>2023-10-09T08:18:00Z</cp:lastPrinted>
  <dcterms:created xsi:type="dcterms:W3CDTF">2024-11-07T08:27:00Z</dcterms:created>
  <dcterms:modified xsi:type="dcterms:W3CDTF">2024-11-20T07:09:00Z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