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F5807" w14:textId="2B3F17E0" w:rsidR="00C36958" w:rsidRPr="00C36958" w:rsidRDefault="00C36958" w:rsidP="24242F8C">
      <w:pPr>
        <w:rPr>
          <w:rFonts w:asciiTheme="majorHAnsi" w:hAnsiTheme="majorHAnsi"/>
          <w:lang w:eastAsia="de-DE"/>
        </w:rPr>
      </w:pPr>
      <w:r w:rsidRPr="24242F8C">
        <w:rPr>
          <w:rFonts w:asciiTheme="majorHAnsi" w:hAnsiTheme="majorHAnsi"/>
          <w:lang w:eastAsia="de-DE"/>
        </w:rPr>
        <w:t>Media release</w:t>
      </w:r>
    </w:p>
    <w:p w14:paraId="6B00EAE5" w14:textId="4ADB136E" w:rsidR="00C36958" w:rsidRPr="00C36958" w:rsidRDefault="00D5002E" w:rsidP="00C36958">
      <w:pPr>
        <w:rPr>
          <w:lang w:eastAsia="de-DE"/>
        </w:rPr>
      </w:pPr>
      <w:r>
        <w:rPr>
          <w:lang w:eastAsia="de-DE"/>
        </w:rPr>
        <w:t xml:space="preserve">March </w:t>
      </w:r>
      <w:r w:rsidR="006B55EF">
        <w:rPr>
          <w:lang w:eastAsia="de-DE"/>
        </w:rPr>
        <w:t xml:space="preserve">10, </w:t>
      </w:r>
      <w:r>
        <w:rPr>
          <w:lang w:eastAsia="de-DE"/>
        </w:rPr>
        <w:t>2026</w:t>
      </w:r>
      <w:r w:rsidR="00C36958" w:rsidRPr="00C36958">
        <w:rPr>
          <w:lang w:eastAsia="de-DE"/>
        </w:rPr>
        <w:t xml:space="preserve">, Sensirion Holding AG, 8712 </w:t>
      </w:r>
      <w:proofErr w:type="spellStart"/>
      <w:r w:rsidR="00C36958" w:rsidRPr="00C36958">
        <w:rPr>
          <w:lang w:eastAsia="de-DE"/>
        </w:rPr>
        <w:t>Stäfa</w:t>
      </w:r>
      <w:proofErr w:type="spellEnd"/>
      <w:r w:rsidR="00C36958" w:rsidRPr="00C36958">
        <w:rPr>
          <w:lang w:eastAsia="de-DE"/>
        </w:rPr>
        <w:t>, Switzerland</w:t>
      </w:r>
    </w:p>
    <w:p w14:paraId="1D4031AE" w14:textId="77777777" w:rsidR="005B1B49" w:rsidRPr="00C36958" w:rsidRDefault="00C36958" w:rsidP="00C36958">
      <w:pPr>
        <w:rPr>
          <w:lang w:eastAsia="de-DE"/>
        </w:rPr>
      </w:pPr>
      <w:r w:rsidRPr="00C36958">
        <w:rPr>
          <w:lang w:eastAsia="de-DE"/>
        </w:rPr>
        <w:t>Ad hoc announcement pursuant to Art. 53 LR</w:t>
      </w:r>
    </w:p>
    <w:p w14:paraId="42BE95A3" w14:textId="77777777" w:rsidR="00C36958" w:rsidRPr="00C36958" w:rsidRDefault="00C36958" w:rsidP="00C36958">
      <w:pPr>
        <w:pBdr>
          <w:bottom w:val="single" w:sz="6" w:space="1" w:color="auto"/>
        </w:pBdr>
        <w:rPr>
          <w:lang w:eastAsia="de-DE"/>
        </w:rPr>
      </w:pPr>
    </w:p>
    <w:p w14:paraId="247F5540" w14:textId="77777777" w:rsidR="005B1B49" w:rsidRDefault="005B1B49" w:rsidP="005B1B49">
      <w:pPr>
        <w:rPr>
          <w:lang w:eastAsia="de-DE"/>
        </w:rPr>
      </w:pPr>
    </w:p>
    <w:p w14:paraId="43F63338" w14:textId="77777777" w:rsidR="00C36958" w:rsidRPr="00C36958" w:rsidRDefault="00C36958" w:rsidP="005B1B49">
      <w:pPr>
        <w:rPr>
          <w:lang w:eastAsia="de-DE"/>
        </w:rPr>
      </w:pPr>
    </w:p>
    <w:p w14:paraId="0F4CFB08" w14:textId="105C69DB" w:rsidR="00D5002E" w:rsidRDefault="00EE1013" w:rsidP="005B1B49">
      <w:pPr>
        <w:rPr>
          <w:rFonts w:asciiTheme="majorHAnsi" w:hAnsiTheme="majorHAnsi"/>
          <w:sz w:val="28"/>
          <w:lang w:eastAsia="de-DE"/>
        </w:rPr>
      </w:pPr>
      <w:r w:rsidRPr="00EE1013">
        <w:rPr>
          <w:rFonts w:asciiTheme="majorHAnsi" w:hAnsiTheme="majorHAnsi"/>
          <w:sz w:val="28"/>
          <w:lang w:eastAsia="de-DE"/>
        </w:rPr>
        <w:t xml:space="preserve">Strong revenue and profitability growth amid challenging markets, underlining </w:t>
      </w:r>
      <w:proofErr w:type="spellStart"/>
      <w:r w:rsidRPr="00EE1013">
        <w:rPr>
          <w:rFonts w:asciiTheme="majorHAnsi" w:hAnsiTheme="majorHAnsi"/>
          <w:sz w:val="28"/>
          <w:lang w:eastAsia="de-DE"/>
        </w:rPr>
        <w:t>Sensirion’s</w:t>
      </w:r>
      <w:proofErr w:type="spellEnd"/>
      <w:r w:rsidRPr="00EE1013">
        <w:rPr>
          <w:rFonts w:asciiTheme="majorHAnsi" w:hAnsiTheme="majorHAnsi"/>
          <w:sz w:val="28"/>
          <w:lang w:eastAsia="de-DE"/>
        </w:rPr>
        <w:t xml:space="preserve"> resilience; reinforced momentum for long‑term strategic growth</w:t>
      </w:r>
    </w:p>
    <w:p w14:paraId="27D8B0E1" w14:textId="77777777" w:rsidR="00EE1013" w:rsidRDefault="00EE1013" w:rsidP="005B1B49">
      <w:pPr>
        <w:rPr>
          <w:lang w:eastAsia="de-DE"/>
        </w:rPr>
      </w:pPr>
    </w:p>
    <w:p w14:paraId="56217CDB" w14:textId="08730902" w:rsidR="005B1B49" w:rsidRPr="008634BD" w:rsidRDefault="00E44007" w:rsidP="008634BD">
      <w:pPr>
        <w:rPr>
          <w:rFonts w:asciiTheme="majorHAnsi" w:hAnsiTheme="majorHAnsi"/>
          <w:lang w:eastAsia="de-DE"/>
        </w:rPr>
      </w:pPr>
      <w:r w:rsidRPr="00E44007">
        <w:rPr>
          <w:rFonts w:asciiTheme="majorHAnsi" w:hAnsiTheme="majorHAnsi"/>
          <w:lang w:eastAsia="de-DE"/>
        </w:rPr>
        <w:t xml:space="preserve">Sensirion closed the 2025 financial year in a </w:t>
      </w:r>
      <w:r w:rsidR="00F02CBB">
        <w:rPr>
          <w:rFonts w:asciiTheme="majorHAnsi" w:hAnsiTheme="majorHAnsi"/>
          <w:lang w:eastAsia="de-DE"/>
        </w:rPr>
        <w:t xml:space="preserve">highly </w:t>
      </w:r>
      <w:r w:rsidRPr="00E44007">
        <w:rPr>
          <w:rFonts w:asciiTheme="majorHAnsi" w:hAnsiTheme="majorHAnsi"/>
          <w:lang w:eastAsia="de-DE"/>
        </w:rPr>
        <w:t xml:space="preserve">challenging market environment with </w:t>
      </w:r>
      <w:r w:rsidR="00F02CBB">
        <w:rPr>
          <w:rFonts w:asciiTheme="majorHAnsi" w:hAnsiTheme="majorHAnsi"/>
          <w:lang w:eastAsia="de-DE"/>
        </w:rPr>
        <w:t>revenu</w:t>
      </w:r>
      <w:r w:rsidR="009D5E9F">
        <w:rPr>
          <w:rFonts w:asciiTheme="majorHAnsi" w:hAnsiTheme="majorHAnsi"/>
          <w:lang w:eastAsia="de-DE"/>
        </w:rPr>
        <w:t>e</w:t>
      </w:r>
      <w:r w:rsidRPr="00E44007">
        <w:rPr>
          <w:rFonts w:asciiTheme="majorHAnsi" w:hAnsiTheme="majorHAnsi"/>
          <w:lang w:eastAsia="de-DE"/>
        </w:rPr>
        <w:t xml:space="preserve"> of CHF 342.4 million, slightly above guidance. This corresponds </w:t>
      </w:r>
      <w:r w:rsidR="006846F0" w:rsidRPr="006846F0">
        <w:rPr>
          <w:rFonts w:asciiTheme="majorHAnsi" w:hAnsiTheme="majorHAnsi"/>
          <w:lang w:eastAsia="de-DE"/>
        </w:rPr>
        <w:t xml:space="preserve">to a year-on-year increase </w:t>
      </w:r>
      <w:r w:rsidRPr="00E44007">
        <w:rPr>
          <w:rFonts w:asciiTheme="majorHAnsi" w:hAnsiTheme="majorHAnsi"/>
          <w:lang w:eastAsia="de-DE"/>
        </w:rPr>
        <w:t>of 29.2</w:t>
      </w:r>
      <w:r w:rsidR="00E8566D">
        <w:rPr>
          <w:rFonts w:asciiTheme="majorHAnsi" w:hAnsiTheme="majorHAnsi"/>
          <w:lang w:eastAsia="de-DE"/>
        </w:rPr>
        <w:t xml:space="preserve"> </w:t>
      </w:r>
      <w:r w:rsidRPr="00E44007">
        <w:rPr>
          <w:rFonts w:asciiTheme="majorHAnsi" w:hAnsiTheme="majorHAnsi"/>
          <w:lang w:eastAsia="de-DE"/>
        </w:rPr>
        <w:t>% in local currencies and 23.8</w:t>
      </w:r>
      <w:r w:rsidR="00E8566D">
        <w:rPr>
          <w:rFonts w:asciiTheme="majorHAnsi" w:hAnsiTheme="majorHAnsi"/>
          <w:lang w:eastAsia="de-DE"/>
        </w:rPr>
        <w:t xml:space="preserve"> </w:t>
      </w:r>
      <w:r w:rsidRPr="00E44007">
        <w:rPr>
          <w:rFonts w:asciiTheme="majorHAnsi" w:hAnsiTheme="majorHAnsi"/>
          <w:lang w:eastAsia="de-DE"/>
        </w:rPr>
        <w:t xml:space="preserve">% in Swiss francs compared </w:t>
      </w:r>
      <w:r w:rsidR="00E8566D">
        <w:rPr>
          <w:rFonts w:asciiTheme="majorHAnsi" w:hAnsiTheme="majorHAnsi"/>
          <w:lang w:eastAsia="de-DE"/>
        </w:rPr>
        <w:t>with</w:t>
      </w:r>
      <w:r w:rsidR="00E8566D" w:rsidRPr="00E44007">
        <w:rPr>
          <w:rFonts w:asciiTheme="majorHAnsi" w:hAnsiTheme="majorHAnsi"/>
          <w:lang w:eastAsia="de-DE"/>
        </w:rPr>
        <w:t xml:space="preserve"> </w:t>
      </w:r>
      <w:r w:rsidRPr="00E44007">
        <w:rPr>
          <w:rFonts w:asciiTheme="majorHAnsi" w:hAnsiTheme="majorHAnsi"/>
          <w:lang w:eastAsia="de-DE"/>
        </w:rPr>
        <w:t xml:space="preserve">the previous year. </w:t>
      </w:r>
      <w:r w:rsidR="00376CC3" w:rsidRPr="00376CC3">
        <w:rPr>
          <w:rFonts w:asciiTheme="majorHAnsi" w:hAnsiTheme="majorHAnsi"/>
          <w:lang w:eastAsia="de-DE"/>
        </w:rPr>
        <w:t>EBITDA more than doubled compared to adjusted 2024, underpinned by strong cash conversion.</w:t>
      </w:r>
      <w:r w:rsidR="00376CC3">
        <w:rPr>
          <w:rFonts w:asciiTheme="majorHAnsi" w:hAnsiTheme="majorHAnsi"/>
          <w:lang w:eastAsia="de-DE"/>
        </w:rPr>
        <w:t xml:space="preserve"> </w:t>
      </w:r>
      <w:r w:rsidRPr="00E44007">
        <w:rPr>
          <w:rFonts w:asciiTheme="majorHAnsi" w:hAnsiTheme="majorHAnsi"/>
          <w:lang w:eastAsia="de-DE"/>
        </w:rPr>
        <w:t>The biggest growth driver was A2L leak</w:t>
      </w:r>
      <w:r w:rsidR="00864F4C">
        <w:rPr>
          <w:rFonts w:asciiTheme="majorHAnsi" w:hAnsiTheme="majorHAnsi"/>
          <w:lang w:eastAsia="de-DE"/>
        </w:rPr>
        <w:t>age</w:t>
      </w:r>
      <w:r w:rsidRPr="00E44007">
        <w:rPr>
          <w:rFonts w:asciiTheme="majorHAnsi" w:hAnsiTheme="majorHAnsi"/>
          <w:lang w:eastAsia="de-DE"/>
        </w:rPr>
        <w:t xml:space="preserve"> sensors for air conditioning systems in the US. However, market share was also gained in other applications, with three of the four end markets recording significant growth. At the same time, Sensirion is benefiting from broadly diversified growth areas in all end markets, which made noticeable progress in the reporting year. Thanks to its strong pipeline, innovative technologies, clear strategic priorities and high industrial resilience, Sensirion is </w:t>
      </w:r>
      <w:r w:rsidR="008634BD">
        <w:rPr>
          <w:rFonts w:asciiTheme="majorHAnsi" w:hAnsiTheme="majorHAnsi"/>
          <w:lang w:eastAsia="de-DE"/>
        </w:rPr>
        <w:t xml:space="preserve">well </w:t>
      </w:r>
      <w:r w:rsidRPr="00E44007">
        <w:rPr>
          <w:rFonts w:asciiTheme="majorHAnsi" w:hAnsiTheme="majorHAnsi"/>
          <w:lang w:eastAsia="de-DE"/>
        </w:rPr>
        <w:t>positioned to achieve sustainable growth in the coming years in the strategically relevant areas of leak</w:t>
      </w:r>
      <w:r w:rsidR="008634BD">
        <w:rPr>
          <w:rFonts w:asciiTheme="majorHAnsi" w:hAnsiTheme="majorHAnsi"/>
          <w:lang w:eastAsia="de-DE"/>
        </w:rPr>
        <w:t>age detection</w:t>
      </w:r>
      <w:r w:rsidRPr="00E44007">
        <w:rPr>
          <w:rFonts w:asciiTheme="majorHAnsi" w:hAnsiTheme="majorHAnsi"/>
          <w:lang w:eastAsia="de-DE"/>
        </w:rPr>
        <w:t xml:space="preserve">, advanced medical </w:t>
      </w:r>
      <w:r w:rsidR="008634BD">
        <w:rPr>
          <w:rFonts w:asciiTheme="majorHAnsi" w:hAnsiTheme="majorHAnsi"/>
          <w:lang w:eastAsia="de-DE"/>
        </w:rPr>
        <w:t xml:space="preserve">sensor </w:t>
      </w:r>
      <w:r w:rsidRPr="00E44007">
        <w:rPr>
          <w:rFonts w:asciiTheme="majorHAnsi" w:hAnsiTheme="majorHAnsi"/>
          <w:lang w:eastAsia="de-DE"/>
        </w:rPr>
        <w:t>solutions and industrial gas ana</w:t>
      </w:r>
      <w:r w:rsidR="008634BD">
        <w:rPr>
          <w:rFonts w:asciiTheme="majorHAnsi" w:hAnsiTheme="majorHAnsi"/>
          <w:lang w:eastAsia="de-DE"/>
        </w:rPr>
        <w:t>lysis.</w:t>
      </w:r>
    </w:p>
    <w:p w14:paraId="1DA330FA" w14:textId="77777777" w:rsidR="008B0B7B" w:rsidRDefault="008B0B7B" w:rsidP="00E84F2C">
      <w:pPr>
        <w:rPr>
          <w:lang w:eastAsia="de-DE"/>
        </w:rPr>
      </w:pPr>
    </w:p>
    <w:tbl>
      <w:tblPr>
        <w:tblStyle w:val="TableGrid"/>
        <w:tblW w:w="0" w:type="auto"/>
        <w:tblLook w:val="04A0" w:firstRow="1" w:lastRow="0" w:firstColumn="1" w:lastColumn="0" w:noHBand="0" w:noVBand="1"/>
      </w:tblPr>
      <w:tblGrid>
        <w:gridCol w:w="2683"/>
        <w:gridCol w:w="2141"/>
        <w:gridCol w:w="2141"/>
        <w:gridCol w:w="2095"/>
      </w:tblGrid>
      <w:tr w:rsidR="008B0B7B" w:rsidRPr="00BD0FB8" w14:paraId="58E8301C" w14:textId="77777777" w:rsidTr="007F38D3">
        <w:trPr>
          <w:trHeight w:val="600"/>
        </w:trPr>
        <w:tc>
          <w:tcPr>
            <w:tcW w:w="3400" w:type="dxa"/>
            <w:noWrap/>
            <w:hideMark/>
          </w:tcPr>
          <w:p w14:paraId="0B53E8D7" w14:textId="5A3F9EB4" w:rsidR="008B0B7B" w:rsidRPr="00BD0FB8" w:rsidRDefault="008B0B7B" w:rsidP="007F38D3">
            <w:pPr>
              <w:rPr>
                <w:rFonts w:asciiTheme="majorHAnsi" w:hAnsiTheme="majorHAnsi" w:cstheme="majorHAnsi"/>
                <w:lang w:eastAsia="de-DE"/>
              </w:rPr>
            </w:pPr>
            <w:r w:rsidRPr="00BD0FB8">
              <w:rPr>
                <w:rFonts w:asciiTheme="majorHAnsi" w:hAnsiTheme="majorHAnsi" w:cstheme="majorHAnsi"/>
                <w:lang w:eastAsia="de-DE"/>
              </w:rPr>
              <w:t xml:space="preserve">Consolidated, in </w:t>
            </w:r>
            <w:r w:rsidR="004103F0">
              <w:rPr>
                <w:rFonts w:asciiTheme="majorHAnsi" w:hAnsiTheme="majorHAnsi" w:cstheme="majorHAnsi"/>
                <w:lang w:eastAsia="de-DE"/>
              </w:rPr>
              <w:t xml:space="preserve">CHF </w:t>
            </w:r>
            <w:r w:rsidRPr="00BD0FB8">
              <w:rPr>
                <w:rFonts w:asciiTheme="majorHAnsi" w:hAnsiTheme="majorHAnsi" w:cstheme="majorHAnsi"/>
                <w:lang w:eastAsia="de-DE"/>
              </w:rPr>
              <w:t>millions</w:t>
            </w:r>
          </w:p>
        </w:tc>
        <w:tc>
          <w:tcPr>
            <w:tcW w:w="2700" w:type="dxa"/>
            <w:hideMark/>
          </w:tcPr>
          <w:p w14:paraId="2D18493D" w14:textId="4DF9AB68" w:rsidR="008B0B7B" w:rsidRPr="00BD0FB8" w:rsidRDefault="008B0B7B" w:rsidP="007F38D3">
            <w:pPr>
              <w:rPr>
                <w:rFonts w:asciiTheme="majorHAnsi" w:hAnsiTheme="majorHAnsi" w:cstheme="majorHAnsi"/>
                <w:lang w:eastAsia="de-DE"/>
              </w:rPr>
            </w:pPr>
            <w:r w:rsidRPr="00BD0FB8">
              <w:rPr>
                <w:rFonts w:asciiTheme="majorHAnsi" w:hAnsiTheme="majorHAnsi" w:cstheme="majorHAnsi"/>
                <w:lang w:eastAsia="de-DE"/>
              </w:rPr>
              <w:t xml:space="preserve">1 January </w:t>
            </w:r>
            <w:r w:rsidR="00F84336">
              <w:rPr>
                <w:rFonts w:asciiTheme="majorHAnsi" w:hAnsiTheme="majorHAnsi" w:cstheme="majorHAnsi"/>
                <w:lang w:eastAsia="de-DE"/>
              </w:rPr>
              <w:t xml:space="preserve">– </w:t>
            </w:r>
            <w:r w:rsidR="00F84336">
              <w:rPr>
                <w:rFonts w:asciiTheme="majorHAnsi" w:hAnsiTheme="majorHAnsi" w:cstheme="majorHAnsi"/>
                <w:lang w:eastAsia="de-DE"/>
              </w:rPr>
              <w:br/>
            </w:r>
            <w:r w:rsidRPr="00BD0FB8">
              <w:rPr>
                <w:rFonts w:asciiTheme="majorHAnsi" w:hAnsiTheme="majorHAnsi" w:cstheme="majorHAnsi"/>
                <w:lang w:eastAsia="de-DE"/>
              </w:rPr>
              <w:t>31 December 2025</w:t>
            </w:r>
          </w:p>
        </w:tc>
        <w:tc>
          <w:tcPr>
            <w:tcW w:w="2700" w:type="dxa"/>
            <w:hideMark/>
          </w:tcPr>
          <w:p w14:paraId="17BE676E" w14:textId="523881B6" w:rsidR="008B0B7B" w:rsidRPr="00BD0FB8" w:rsidRDefault="008B0B7B" w:rsidP="007F38D3">
            <w:pPr>
              <w:rPr>
                <w:rFonts w:asciiTheme="majorHAnsi" w:hAnsiTheme="majorHAnsi" w:cstheme="majorHAnsi"/>
                <w:lang w:eastAsia="de-DE"/>
              </w:rPr>
            </w:pPr>
            <w:r w:rsidRPr="00BD0FB8">
              <w:rPr>
                <w:rFonts w:asciiTheme="majorHAnsi" w:hAnsiTheme="majorHAnsi" w:cstheme="majorHAnsi"/>
                <w:lang w:eastAsia="de-DE"/>
              </w:rPr>
              <w:t xml:space="preserve">1 January </w:t>
            </w:r>
            <w:r w:rsidR="00F84336">
              <w:rPr>
                <w:rFonts w:asciiTheme="majorHAnsi" w:hAnsiTheme="majorHAnsi" w:cstheme="majorHAnsi"/>
                <w:lang w:eastAsia="de-DE"/>
              </w:rPr>
              <w:t>–</w:t>
            </w:r>
            <w:r w:rsidRPr="00BD0FB8">
              <w:rPr>
                <w:rFonts w:asciiTheme="majorHAnsi" w:hAnsiTheme="majorHAnsi" w:cstheme="majorHAnsi"/>
                <w:lang w:eastAsia="de-DE"/>
              </w:rPr>
              <w:t xml:space="preserve"> </w:t>
            </w:r>
            <w:r w:rsidR="00F84336">
              <w:rPr>
                <w:rFonts w:asciiTheme="majorHAnsi" w:hAnsiTheme="majorHAnsi" w:cstheme="majorHAnsi"/>
                <w:lang w:eastAsia="de-DE"/>
              </w:rPr>
              <w:br/>
            </w:r>
            <w:r w:rsidRPr="00BD0FB8">
              <w:rPr>
                <w:rFonts w:asciiTheme="majorHAnsi" w:hAnsiTheme="majorHAnsi" w:cstheme="majorHAnsi"/>
                <w:lang w:eastAsia="de-DE"/>
              </w:rPr>
              <w:t>31 December 2024, adjusted*</w:t>
            </w:r>
          </w:p>
        </w:tc>
        <w:tc>
          <w:tcPr>
            <w:tcW w:w="2640" w:type="dxa"/>
            <w:hideMark/>
          </w:tcPr>
          <w:p w14:paraId="7E929843" w14:textId="49448273" w:rsidR="008B0B7B" w:rsidRPr="00BD0FB8" w:rsidRDefault="008B0B7B" w:rsidP="007F38D3">
            <w:pPr>
              <w:rPr>
                <w:rFonts w:asciiTheme="majorHAnsi" w:hAnsiTheme="majorHAnsi" w:cstheme="majorHAnsi"/>
                <w:lang w:eastAsia="de-DE"/>
              </w:rPr>
            </w:pPr>
            <w:r w:rsidRPr="00BD0FB8">
              <w:rPr>
                <w:rFonts w:asciiTheme="majorHAnsi" w:hAnsiTheme="majorHAnsi" w:cstheme="majorHAnsi"/>
                <w:lang w:eastAsia="de-DE"/>
              </w:rPr>
              <w:t xml:space="preserve">1 January </w:t>
            </w:r>
            <w:r w:rsidR="00F84336">
              <w:rPr>
                <w:rFonts w:asciiTheme="majorHAnsi" w:hAnsiTheme="majorHAnsi" w:cstheme="majorHAnsi"/>
                <w:lang w:eastAsia="de-DE"/>
              </w:rPr>
              <w:t>–</w:t>
            </w:r>
            <w:r w:rsidRPr="00BD0FB8">
              <w:rPr>
                <w:rFonts w:asciiTheme="majorHAnsi" w:hAnsiTheme="majorHAnsi" w:cstheme="majorHAnsi"/>
                <w:lang w:eastAsia="de-DE"/>
              </w:rPr>
              <w:t xml:space="preserve"> </w:t>
            </w:r>
            <w:r w:rsidR="00F84336">
              <w:rPr>
                <w:rFonts w:asciiTheme="majorHAnsi" w:hAnsiTheme="majorHAnsi" w:cstheme="majorHAnsi"/>
                <w:lang w:eastAsia="de-DE"/>
              </w:rPr>
              <w:br/>
            </w:r>
            <w:r w:rsidRPr="00BD0FB8">
              <w:rPr>
                <w:rFonts w:asciiTheme="majorHAnsi" w:hAnsiTheme="majorHAnsi" w:cstheme="majorHAnsi"/>
                <w:lang w:eastAsia="de-DE"/>
              </w:rPr>
              <w:t>31 December 2024</w:t>
            </w:r>
          </w:p>
        </w:tc>
      </w:tr>
      <w:tr w:rsidR="008B0B7B" w:rsidRPr="007D4BF5" w14:paraId="37164714" w14:textId="77777777" w:rsidTr="007F38D3">
        <w:trPr>
          <w:trHeight w:val="282"/>
        </w:trPr>
        <w:tc>
          <w:tcPr>
            <w:tcW w:w="3400" w:type="dxa"/>
            <w:noWrap/>
            <w:hideMark/>
          </w:tcPr>
          <w:p w14:paraId="5E8A800E" w14:textId="77777777" w:rsidR="008B0B7B" w:rsidRPr="007D4BF5" w:rsidRDefault="008B0B7B" w:rsidP="007F38D3">
            <w:pPr>
              <w:rPr>
                <w:lang w:eastAsia="de-DE"/>
              </w:rPr>
            </w:pPr>
            <w:r w:rsidRPr="007D4BF5">
              <w:rPr>
                <w:lang w:eastAsia="de-DE"/>
              </w:rPr>
              <w:t>Revenue</w:t>
            </w:r>
          </w:p>
        </w:tc>
        <w:tc>
          <w:tcPr>
            <w:tcW w:w="2700" w:type="dxa"/>
            <w:noWrap/>
            <w:hideMark/>
          </w:tcPr>
          <w:p w14:paraId="025F89C8" w14:textId="77777777" w:rsidR="008B0B7B" w:rsidRPr="007D4BF5" w:rsidRDefault="008B0B7B" w:rsidP="007F38D3">
            <w:pPr>
              <w:rPr>
                <w:lang w:eastAsia="de-DE"/>
              </w:rPr>
            </w:pPr>
            <w:r w:rsidRPr="007D4BF5">
              <w:rPr>
                <w:lang w:eastAsia="de-DE"/>
              </w:rPr>
              <w:t>342.4</w:t>
            </w:r>
          </w:p>
        </w:tc>
        <w:tc>
          <w:tcPr>
            <w:tcW w:w="2700" w:type="dxa"/>
            <w:noWrap/>
            <w:hideMark/>
          </w:tcPr>
          <w:p w14:paraId="26357854" w14:textId="77777777" w:rsidR="008B0B7B" w:rsidRPr="007D4BF5" w:rsidRDefault="008B0B7B" w:rsidP="007F38D3">
            <w:pPr>
              <w:rPr>
                <w:lang w:eastAsia="de-DE"/>
              </w:rPr>
            </w:pPr>
            <w:r w:rsidRPr="007D4BF5">
              <w:rPr>
                <w:lang w:eastAsia="de-DE"/>
              </w:rPr>
              <w:t xml:space="preserve">276.5 </w:t>
            </w:r>
          </w:p>
        </w:tc>
        <w:tc>
          <w:tcPr>
            <w:tcW w:w="2640" w:type="dxa"/>
            <w:noWrap/>
            <w:hideMark/>
          </w:tcPr>
          <w:p w14:paraId="6C55EA9C" w14:textId="77777777" w:rsidR="008B0B7B" w:rsidRPr="007D4BF5" w:rsidRDefault="008B0B7B" w:rsidP="007F38D3">
            <w:pPr>
              <w:rPr>
                <w:lang w:eastAsia="de-DE"/>
              </w:rPr>
            </w:pPr>
            <w:r w:rsidRPr="007D4BF5">
              <w:rPr>
                <w:lang w:eastAsia="de-DE"/>
              </w:rPr>
              <w:t xml:space="preserve">276.5 </w:t>
            </w:r>
          </w:p>
        </w:tc>
      </w:tr>
      <w:tr w:rsidR="008B0B7B" w:rsidRPr="007D4BF5" w14:paraId="524EBBBE" w14:textId="77777777" w:rsidTr="007F38D3">
        <w:trPr>
          <w:trHeight w:val="282"/>
        </w:trPr>
        <w:tc>
          <w:tcPr>
            <w:tcW w:w="3400" w:type="dxa"/>
            <w:noWrap/>
            <w:hideMark/>
          </w:tcPr>
          <w:p w14:paraId="6CB18D06" w14:textId="77777777" w:rsidR="008B0B7B" w:rsidRPr="007D4BF5" w:rsidRDefault="008B0B7B" w:rsidP="007F38D3">
            <w:pPr>
              <w:rPr>
                <w:lang w:eastAsia="de-DE"/>
              </w:rPr>
            </w:pPr>
            <w:r w:rsidRPr="007D4BF5">
              <w:rPr>
                <w:lang w:eastAsia="de-DE"/>
              </w:rPr>
              <w:t>Gross profit</w:t>
            </w:r>
          </w:p>
        </w:tc>
        <w:tc>
          <w:tcPr>
            <w:tcW w:w="2700" w:type="dxa"/>
            <w:noWrap/>
            <w:hideMark/>
          </w:tcPr>
          <w:p w14:paraId="727C194F" w14:textId="77777777" w:rsidR="008B0B7B" w:rsidRPr="007D4BF5" w:rsidRDefault="008B0B7B" w:rsidP="007F38D3">
            <w:pPr>
              <w:rPr>
                <w:lang w:eastAsia="de-DE"/>
              </w:rPr>
            </w:pPr>
            <w:r w:rsidRPr="007D4BF5">
              <w:rPr>
                <w:lang w:eastAsia="de-DE"/>
              </w:rPr>
              <w:t>179.2</w:t>
            </w:r>
          </w:p>
        </w:tc>
        <w:tc>
          <w:tcPr>
            <w:tcW w:w="2700" w:type="dxa"/>
            <w:noWrap/>
            <w:hideMark/>
          </w:tcPr>
          <w:p w14:paraId="1DE3EEE7" w14:textId="77777777" w:rsidR="008B0B7B" w:rsidRPr="007D4BF5" w:rsidRDefault="008B0B7B" w:rsidP="007F38D3">
            <w:pPr>
              <w:rPr>
                <w:lang w:eastAsia="de-DE"/>
              </w:rPr>
            </w:pPr>
            <w:r w:rsidRPr="007D4BF5">
              <w:rPr>
                <w:lang w:eastAsia="de-DE"/>
              </w:rPr>
              <w:t xml:space="preserve">136.1 </w:t>
            </w:r>
          </w:p>
        </w:tc>
        <w:tc>
          <w:tcPr>
            <w:tcW w:w="2640" w:type="dxa"/>
            <w:noWrap/>
            <w:hideMark/>
          </w:tcPr>
          <w:p w14:paraId="4C50C97E" w14:textId="77777777" w:rsidR="008B0B7B" w:rsidRPr="007D4BF5" w:rsidRDefault="008B0B7B" w:rsidP="007F38D3">
            <w:pPr>
              <w:rPr>
                <w:lang w:eastAsia="de-DE"/>
              </w:rPr>
            </w:pPr>
            <w:r w:rsidRPr="007D4BF5">
              <w:rPr>
                <w:lang w:eastAsia="de-DE"/>
              </w:rPr>
              <w:t xml:space="preserve">134.9 </w:t>
            </w:r>
          </w:p>
        </w:tc>
      </w:tr>
      <w:tr w:rsidR="008B0B7B" w:rsidRPr="007D4BF5" w14:paraId="4B76956F" w14:textId="77777777" w:rsidTr="007F38D3">
        <w:trPr>
          <w:trHeight w:val="282"/>
        </w:trPr>
        <w:tc>
          <w:tcPr>
            <w:tcW w:w="3400" w:type="dxa"/>
            <w:noWrap/>
            <w:hideMark/>
          </w:tcPr>
          <w:p w14:paraId="3185411D" w14:textId="77777777" w:rsidR="008B0B7B" w:rsidRPr="007D4BF5" w:rsidRDefault="008B0B7B" w:rsidP="007F38D3">
            <w:pPr>
              <w:rPr>
                <w:lang w:eastAsia="de-DE"/>
              </w:rPr>
            </w:pPr>
            <w:r w:rsidRPr="007D4BF5">
              <w:rPr>
                <w:lang w:eastAsia="de-DE"/>
              </w:rPr>
              <w:t>- as % of revenue</w:t>
            </w:r>
          </w:p>
        </w:tc>
        <w:tc>
          <w:tcPr>
            <w:tcW w:w="2700" w:type="dxa"/>
            <w:noWrap/>
            <w:hideMark/>
          </w:tcPr>
          <w:p w14:paraId="601FCE40" w14:textId="77777777" w:rsidR="008B0B7B" w:rsidRPr="007D4BF5" w:rsidRDefault="008B0B7B" w:rsidP="007F38D3">
            <w:pPr>
              <w:rPr>
                <w:lang w:eastAsia="de-DE"/>
              </w:rPr>
            </w:pPr>
            <w:r w:rsidRPr="007D4BF5">
              <w:rPr>
                <w:lang w:eastAsia="de-DE"/>
              </w:rPr>
              <w:t xml:space="preserve">52.3% </w:t>
            </w:r>
          </w:p>
        </w:tc>
        <w:tc>
          <w:tcPr>
            <w:tcW w:w="2700" w:type="dxa"/>
            <w:noWrap/>
            <w:hideMark/>
          </w:tcPr>
          <w:p w14:paraId="3F38497D" w14:textId="77777777" w:rsidR="008B0B7B" w:rsidRPr="007D4BF5" w:rsidRDefault="008B0B7B" w:rsidP="007F38D3">
            <w:pPr>
              <w:rPr>
                <w:lang w:eastAsia="de-DE"/>
              </w:rPr>
            </w:pPr>
            <w:r w:rsidRPr="007D4BF5">
              <w:rPr>
                <w:lang w:eastAsia="de-DE"/>
              </w:rPr>
              <w:t xml:space="preserve">49.2% </w:t>
            </w:r>
          </w:p>
        </w:tc>
        <w:tc>
          <w:tcPr>
            <w:tcW w:w="2640" w:type="dxa"/>
            <w:noWrap/>
            <w:hideMark/>
          </w:tcPr>
          <w:p w14:paraId="6D680AE3" w14:textId="77777777" w:rsidR="008B0B7B" w:rsidRPr="007D4BF5" w:rsidRDefault="008B0B7B" w:rsidP="007F38D3">
            <w:pPr>
              <w:rPr>
                <w:lang w:eastAsia="de-DE"/>
              </w:rPr>
            </w:pPr>
            <w:r w:rsidRPr="007D4BF5">
              <w:rPr>
                <w:lang w:eastAsia="de-DE"/>
              </w:rPr>
              <w:t xml:space="preserve">48.8% </w:t>
            </w:r>
          </w:p>
        </w:tc>
      </w:tr>
      <w:tr w:rsidR="008B0B7B" w:rsidRPr="007D4BF5" w14:paraId="0A949034" w14:textId="77777777" w:rsidTr="007F38D3">
        <w:trPr>
          <w:trHeight w:val="282"/>
        </w:trPr>
        <w:tc>
          <w:tcPr>
            <w:tcW w:w="3400" w:type="dxa"/>
            <w:noWrap/>
            <w:hideMark/>
          </w:tcPr>
          <w:p w14:paraId="1F4F9D9D" w14:textId="77777777" w:rsidR="008B0B7B" w:rsidRPr="007D4BF5" w:rsidRDefault="008B0B7B" w:rsidP="007F38D3">
            <w:pPr>
              <w:rPr>
                <w:lang w:eastAsia="de-DE"/>
              </w:rPr>
            </w:pPr>
            <w:r w:rsidRPr="007D4BF5">
              <w:rPr>
                <w:lang w:eastAsia="de-DE"/>
              </w:rPr>
              <w:t>Operating profit (loss)</w:t>
            </w:r>
          </w:p>
        </w:tc>
        <w:tc>
          <w:tcPr>
            <w:tcW w:w="2700" w:type="dxa"/>
            <w:noWrap/>
            <w:hideMark/>
          </w:tcPr>
          <w:p w14:paraId="4C5E6527" w14:textId="77777777" w:rsidR="008B0B7B" w:rsidRPr="007D4BF5" w:rsidRDefault="008B0B7B" w:rsidP="007F38D3">
            <w:pPr>
              <w:rPr>
                <w:lang w:eastAsia="de-DE"/>
              </w:rPr>
            </w:pPr>
            <w:r w:rsidRPr="007D4BF5">
              <w:rPr>
                <w:lang w:eastAsia="de-DE"/>
              </w:rPr>
              <w:t>42.8</w:t>
            </w:r>
          </w:p>
        </w:tc>
        <w:tc>
          <w:tcPr>
            <w:tcW w:w="2700" w:type="dxa"/>
            <w:noWrap/>
            <w:hideMark/>
          </w:tcPr>
          <w:p w14:paraId="5C5B7031" w14:textId="77777777" w:rsidR="008B0B7B" w:rsidRPr="007D4BF5" w:rsidRDefault="008B0B7B" w:rsidP="007F38D3">
            <w:pPr>
              <w:rPr>
                <w:lang w:eastAsia="de-DE"/>
              </w:rPr>
            </w:pPr>
            <w:r w:rsidRPr="007D4BF5">
              <w:rPr>
                <w:lang w:eastAsia="de-DE"/>
              </w:rPr>
              <w:t xml:space="preserve">10.2 </w:t>
            </w:r>
          </w:p>
        </w:tc>
        <w:tc>
          <w:tcPr>
            <w:tcW w:w="2640" w:type="dxa"/>
            <w:noWrap/>
            <w:hideMark/>
          </w:tcPr>
          <w:p w14:paraId="3AEBFEA3" w14:textId="77777777" w:rsidR="008B0B7B" w:rsidRPr="007D4BF5" w:rsidRDefault="008B0B7B" w:rsidP="007F38D3">
            <w:pPr>
              <w:rPr>
                <w:lang w:eastAsia="de-DE"/>
              </w:rPr>
            </w:pPr>
            <w:r w:rsidRPr="007D4BF5">
              <w:rPr>
                <w:lang w:eastAsia="de-DE"/>
              </w:rPr>
              <w:t>(18.4)</w:t>
            </w:r>
          </w:p>
        </w:tc>
      </w:tr>
      <w:tr w:rsidR="008B0B7B" w:rsidRPr="007D4BF5" w14:paraId="107E7920" w14:textId="77777777" w:rsidTr="007F38D3">
        <w:trPr>
          <w:trHeight w:val="282"/>
        </w:trPr>
        <w:tc>
          <w:tcPr>
            <w:tcW w:w="3400" w:type="dxa"/>
            <w:noWrap/>
            <w:hideMark/>
          </w:tcPr>
          <w:p w14:paraId="006CDE55" w14:textId="77777777" w:rsidR="008B0B7B" w:rsidRPr="007D4BF5" w:rsidRDefault="008B0B7B" w:rsidP="007F38D3">
            <w:pPr>
              <w:rPr>
                <w:lang w:eastAsia="de-DE"/>
              </w:rPr>
            </w:pPr>
            <w:r w:rsidRPr="007D4BF5">
              <w:rPr>
                <w:lang w:eastAsia="de-DE"/>
              </w:rPr>
              <w:t>- as % of revenue</w:t>
            </w:r>
          </w:p>
        </w:tc>
        <w:tc>
          <w:tcPr>
            <w:tcW w:w="2700" w:type="dxa"/>
            <w:noWrap/>
            <w:hideMark/>
          </w:tcPr>
          <w:p w14:paraId="6B9A0246" w14:textId="77777777" w:rsidR="008B0B7B" w:rsidRPr="007D4BF5" w:rsidRDefault="008B0B7B" w:rsidP="007F38D3">
            <w:pPr>
              <w:rPr>
                <w:lang w:eastAsia="de-DE"/>
              </w:rPr>
            </w:pPr>
            <w:r w:rsidRPr="007D4BF5">
              <w:rPr>
                <w:lang w:eastAsia="de-DE"/>
              </w:rPr>
              <w:t xml:space="preserve">12.5% </w:t>
            </w:r>
          </w:p>
        </w:tc>
        <w:tc>
          <w:tcPr>
            <w:tcW w:w="2700" w:type="dxa"/>
            <w:noWrap/>
            <w:hideMark/>
          </w:tcPr>
          <w:p w14:paraId="0E561565" w14:textId="77777777" w:rsidR="008B0B7B" w:rsidRPr="007D4BF5" w:rsidRDefault="008B0B7B" w:rsidP="007F38D3">
            <w:pPr>
              <w:rPr>
                <w:lang w:eastAsia="de-DE"/>
              </w:rPr>
            </w:pPr>
            <w:r w:rsidRPr="007D4BF5">
              <w:rPr>
                <w:lang w:eastAsia="de-DE"/>
              </w:rPr>
              <w:t xml:space="preserve">3.7% </w:t>
            </w:r>
          </w:p>
        </w:tc>
        <w:tc>
          <w:tcPr>
            <w:tcW w:w="2640" w:type="dxa"/>
            <w:noWrap/>
            <w:hideMark/>
          </w:tcPr>
          <w:p w14:paraId="177F7A2B" w14:textId="77777777" w:rsidR="008B0B7B" w:rsidRPr="007D4BF5" w:rsidRDefault="008B0B7B" w:rsidP="007F38D3">
            <w:pPr>
              <w:rPr>
                <w:lang w:eastAsia="de-DE"/>
              </w:rPr>
            </w:pPr>
            <w:r w:rsidRPr="007D4BF5">
              <w:rPr>
                <w:lang w:eastAsia="de-DE"/>
              </w:rPr>
              <w:t>(6.7%)</w:t>
            </w:r>
          </w:p>
        </w:tc>
      </w:tr>
      <w:tr w:rsidR="008B0B7B" w:rsidRPr="007D4BF5" w14:paraId="70ADA19F" w14:textId="77777777" w:rsidTr="007F38D3">
        <w:trPr>
          <w:trHeight w:val="282"/>
        </w:trPr>
        <w:tc>
          <w:tcPr>
            <w:tcW w:w="3400" w:type="dxa"/>
            <w:noWrap/>
            <w:hideMark/>
          </w:tcPr>
          <w:p w14:paraId="5EF96843" w14:textId="77777777" w:rsidR="008B0B7B" w:rsidRPr="007D4BF5" w:rsidRDefault="008B0B7B" w:rsidP="007F38D3">
            <w:pPr>
              <w:rPr>
                <w:lang w:eastAsia="de-DE"/>
              </w:rPr>
            </w:pPr>
            <w:r w:rsidRPr="007D4BF5">
              <w:rPr>
                <w:lang w:eastAsia="de-DE"/>
              </w:rPr>
              <w:t>Profit (loss) for the period</w:t>
            </w:r>
          </w:p>
        </w:tc>
        <w:tc>
          <w:tcPr>
            <w:tcW w:w="2700" w:type="dxa"/>
            <w:noWrap/>
            <w:hideMark/>
          </w:tcPr>
          <w:p w14:paraId="2121AF8E" w14:textId="77777777" w:rsidR="008B0B7B" w:rsidRPr="007D4BF5" w:rsidRDefault="008B0B7B" w:rsidP="007F38D3">
            <w:pPr>
              <w:rPr>
                <w:lang w:eastAsia="de-DE"/>
              </w:rPr>
            </w:pPr>
            <w:r w:rsidRPr="007D4BF5">
              <w:rPr>
                <w:lang w:eastAsia="de-DE"/>
              </w:rPr>
              <w:t>20.1</w:t>
            </w:r>
          </w:p>
        </w:tc>
        <w:tc>
          <w:tcPr>
            <w:tcW w:w="2700" w:type="dxa"/>
            <w:noWrap/>
            <w:hideMark/>
          </w:tcPr>
          <w:p w14:paraId="24588C91" w14:textId="77777777" w:rsidR="008B0B7B" w:rsidRPr="007D4BF5" w:rsidRDefault="008B0B7B" w:rsidP="007F38D3">
            <w:pPr>
              <w:rPr>
                <w:lang w:eastAsia="de-DE"/>
              </w:rPr>
            </w:pPr>
            <w:r w:rsidRPr="007D4BF5">
              <w:rPr>
                <w:lang w:eastAsia="de-DE"/>
              </w:rPr>
              <w:t xml:space="preserve">4.5 </w:t>
            </w:r>
          </w:p>
        </w:tc>
        <w:tc>
          <w:tcPr>
            <w:tcW w:w="2640" w:type="dxa"/>
            <w:noWrap/>
            <w:hideMark/>
          </w:tcPr>
          <w:p w14:paraId="74155011" w14:textId="77777777" w:rsidR="008B0B7B" w:rsidRPr="007D4BF5" w:rsidRDefault="008B0B7B" w:rsidP="007F38D3">
            <w:pPr>
              <w:rPr>
                <w:lang w:eastAsia="de-DE"/>
              </w:rPr>
            </w:pPr>
            <w:r w:rsidRPr="007D4BF5">
              <w:rPr>
                <w:lang w:eastAsia="de-DE"/>
              </w:rPr>
              <w:t>(28.9)</w:t>
            </w:r>
          </w:p>
        </w:tc>
      </w:tr>
      <w:tr w:rsidR="008B0B7B" w:rsidRPr="007D4BF5" w14:paraId="6DBE69E7" w14:textId="77777777" w:rsidTr="007F38D3">
        <w:trPr>
          <w:trHeight w:val="282"/>
        </w:trPr>
        <w:tc>
          <w:tcPr>
            <w:tcW w:w="3400" w:type="dxa"/>
            <w:noWrap/>
            <w:hideMark/>
          </w:tcPr>
          <w:p w14:paraId="501E3DEE" w14:textId="77777777" w:rsidR="008B0B7B" w:rsidRPr="007D4BF5" w:rsidRDefault="008B0B7B" w:rsidP="007F38D3">
            <w:pPr>
              <w:rPr>
                <w:lang w:eastAsia="de-DE"/>
              </w:rPr>
            </w:pPr>
            <w:r w:rsidRPr="007D4BF5">
              <w:rPr>
                <w:lang w:eastAsia="de-DE"/>
              </w:rPr>
              <w:t>- as % of revenue</w:t>
            </w:r>
          </w:p>
        </w:tc>
        <w:tc>
          <w:tcPr>
            <w:tcW w:w="2700" w:type="dxa"/>
            <w:noWrap/>
            <w:hideMark/>
          </w:tcPr>
          <w:p w14:paraId="333AC654" w14:textId="77777777" w:rsidR="008B0B7B" w:rsidRPr="007D4BF5" w:rsidRDefault="008B0B7B" w:rsidP="007F38D3">
            <w:pPr>
              <w:rPr>
                <w:lang w:eastAsia="de-DE"/>
              </w:rPr>
            </w:pPr>
            <w:r w:rsidRPr="007D4BF5">
              <w:rPr>
                <w:lang w:eastAsia="de-DE"/>
              </w:rPr>
              <w:t xml:space="preserve">5.9% </w:t>
            </w:r>
          </w:p>
        </w:tc>
        <w:tc>
          <w:tcPr>
            <w:tcW w:w="2700" w:type="dxa"/>
            <w:noWrap/>
            <w:hideMark/>
          </w:tcPr>
          <w:p w14:paraId="70D74972" w14:textId="77777777" w:rsidR="008B0B7B" w:rsidRPr="007D4BF5" w:rsidRDefault="008B0B7B" w:rsidP="007F38D3">
            <w:pPr>
              <w:rPr>
                <w:lang w:eastAsia="de-DE"/>
              </w:rPr>
            </w:pPr>
            <w:r w:rsidRPr="007D4BF5">
              <w:rPr>
                <w:lang w:eastAsia="de-DE"/>
              </w:rPr>
              <w:t xml:space="preserve">1.6% </w:t>
            </w:r>
          </w:p>
        </w:tc>
        <w:tc>
          <w:tcPr>
            <w:tcW w:w="2640" w:type="dxa"/>
            <w:noWrap/>
            <w:hideMark/>
          </w:tcPr>
          <w:p w14:paraId="0E299ED1" w14:textId="77777777" w:rsidR="008B0B7B" w:rsidRPr="007D4BF5" w:rsidRDefault="008B0B7B" w:rsidP="007F38D3">
            <w:pPr>
              <w:rPr>
                <w:lang w:eastAsia="de-DE"/>
              </w:rPr>
            </w:pPr>
            <w:r w:rsidRPr="007D4BF5">
              <w:rPr>
                <w:lang w:eastAsia="de-DE"/>
              </w:rPr>
              <w:t>(10.4%)</w:t>
            </w:r>
          </w:p>
        </w:tc>
      </w:tr>
      <w:tr w:rsidR="008B0B7B" w:rsidRPr="007D4BF5" w14:paraId="53226DA3" w14:textId="77777777" w:rsidTr="007F38D3">
        <w:trPr>
          <w:trHeight w:val="282"/>
        </w:trPr>
        <w:tc>
          <w:tcPr>
            <w:tcW w:w="3400" w:type="dxa"/>
            <w:noWrap/>
            <w:hideMark/>
          </w:tcPr>
          <w:p w14:paraId="3CF1A2AD" w14:textId="77777777" w:rsidR="008B0B7B" w:rsidRPr="007D4BF5" w:rsidRDefault="008B0B7B" w:rsidP="007F38D3">
            <w:pPr>
              <w:rPr>
                <w:lang w:eastAsia="de-DE"/>
              </w:rPr>
            </w:pPr>
            <w:r w:rsidRPr="007D4BF5">
              <w:rPr>
                <w:lang w:eastAsia="de-DE"/>
              </w:rPr>
              <w:t>Earnings per share (in CHF)</w:t>
            </w:r>
          </w:p>
        </w:tc>
        <w:tc>
          <w:tcPr>
            <w:tcW w:w="2700" w:type="dxa"/>
            <w:noWrap/>
            <w:hideMark/>
          </w:tcPr>
          <w:p w14:paraId="1CFAA615" w14:textId="77777777" w:rsidR="008B0B7B" w:rsidRPr="007D4BF5" w:rsidRDefault="008B0B7B" w:rsidP="007F38D3">
            <w:pPr>
              <w:rPr>
                <w:lang w:eastAsia="de-DE"/>
              </w:rPr>
            </w:pPr>
            <w:r w:rsidRPr="007D4BF5">
              <w:rPr>
                <w:lang w:eastAsia="de-DE"/>
              </w:rPr>
              <w:t xml:space="preserve">1.29 </w:t>
            </w:r>
          </w:p>
        </w:tc>
        <w:tc>
          <w:tcPr>
            <w:tcW w:w="2700" w:type="dxa"/>
            <w:noWrap/>
            <w:hideMark/>
          </w:tcPr>
          <w:p w14:paraId="56C2484C" w14:textId="77777777" w:rsidR="008B0B7B" w:rsidRPr="007D4BF5" w:rsidRDefault="008B0B7B" w:rsidP="007F38D3">
            <w:pPr>
              <w:rPr>
                <w:lang w:eastAsia="de-DE"/>
              </w:rPr>
            </w:pPr>
            <w:r w:rsidRPr="007D4BF5">
              <w:rPr>
                <w:lang w:eastAsia="de-DE"/>
              </w:rPr>
              <w:t xml:space="preserve">0.29 </w:t>
            </w:r>
          </w:p>
        </w:tc>
        <w:tc>
          <w:tcPr>
            <w:tcW w:w="2640" w:type="dxa"/>
            <w:noWrap/>
            <w:hideMark/>
          </w:tcPr>
          <w:p w14:paraId="765C6F30" w14:textId="77777777" w:rsidR="008B0B7B" w:rsidRPr="007D4BF5" w:rsidRDefault="008B0B7B" w:rsidP="007F38D3">
            <w:pPr>
              <w:rPr>
                <w:lang w:eastAsia="de-DE"/>
              </w:rPr>
            </w:pPr>
            <w:r w:rsidRPr="007D4BF5">
              <w:rPr>
                <w:lang w:eastAsia="de-DE"/>
              </w:rPr>
              <w:t>(1.85)</w:t>
            </w:r>
          </w:p>
        </w:tc>
      </w:tr>
      <w:tr w:rsidR="008B0B7B" w:rsidRPr="007D4BF5" w14:paraId="031BC87E" w14:textId="77777777" w:rsidTr="007F38D3">
        <w:trPr>
          <w:trHeight w:val="282"/>
        </w:trPr>
        <w:tc>
          <w:tcPr>
            <w:tcW w:w="3400" w:type="dxa"/>
            <w:noWrap/>
            <w:hideMark/>
          </w:tcPr>
          <w:p w14:paraId="6AD4E0F3" w14:textId="77777777" w:rsidR="008B0B7B" w:rsidRPr="007D4BF5" w:rsidRDefault="008B0B7B" w:rsidP="007F38D3">
            <w:pPr>
              <w:rPr>
                <w:lang w:eastAsia="de-DE"/>
              </w:rPr>
            </w:pPr>
            <w:r w:rsidRPr="007D4BF5">
              <w:rPr>
                <w:lang w:eastAsia="de-DE"/>
              </w:rPr>
              <w:t>EBITDA</w:t>
            </w:r>
          </w:p>
        </w:tc>
        <w:tc>
          <w:tcPr>
            <w:tcW w:w="2700" w:type="dxa"/>
            <w:noWrap/>
            <w:hideMark/>
          </w:tcPr>
          <w:p w14:paraId="03C6C936" w14:textId="77777777" w:rsidR="008B0B7B" w:rsidRPr="007D4BF5" w:rsidRDefault="008B0B7B" w:rsidP="007F38D3">
            <w:pPr>
              <w:rPr>
                <w:lang w:eastAsia="de-DE"/>
              </w:rPr>
            </w:pPr>
            <w:r w:rsidRPr="007D4BF5">
              <w:rPr>
                <w:lang w:eastAsia="de-DE"/>
              </w:rPr>
              <w:t>63.5</w:t>
            </w:r>
          </w:p>
        </w:tc>
        <w:tc>
          <w:tcPr>
            <w:tcW w:w="2700" w:type="dxa"/>
            <w:noWrap/>
            <w:hideMark/>
          </w:tcPr>
          <w:p w14:paraId="7C21C4B3" w14:textId="77777777" w:rsidR="008B0B7B" w:rsidRPr="007D4BF5" w:rsidRDefault="008B0B7B" w:rsidP="007F38D3">
            <w:pPr>
              <w:rPr>
                <w:lang w:eastAsia="de-DE"/>
              </w:rPr>
            </w:pPr>
            <w:r w:rsidRPr="007D4BF5">
              <w:rPr>
                <w:lang w:eastAsia="de-DE"/>
              </w:rPr>
              <w:t xml:space="preserve">29.0 </w:t>
            </w:r>
          </w:p>
        </w:tc>
        <w:tc>
          <w:tcPr>
            <w:tcW w:w="2640" w:type="dxa"/>
            <w:noWrap/>
            <w:hideMark/>
          </w:tcPr>
          <w:p w14:paraId="36840E0D" w14:textId="77777777" w:rsidR="008B0B7B" w:rsidRPr="007D4BF5" w:rsidRDefault="008B0B7B" w:rsidP="007F38D3">
            <w:pPr>
              <w:rPr>
                <w:lang w:eastAsia="de-DE"/>
              </w:rPr>
            </w:pPr>
            <w:r w:rsidRPr="007D4BF5">
              <w:rPr>
                <w:lang w:eastAsia="de-DE"/>
              </w:rPr>
              <w:t xml:space="preserve">0.4 </w:t>
            </w:r>
          </w:p>
        </w:tc>
      </w:tr>
      <w:tr w:rsidR="008B0B7B" w:rsidRPr="007D4BF5" w14:paraId="19DC7D50" w14:textId="77777777" w:rsidTr="007F38D3">
        <w:trPr>
          <w:trHeight w:val="282"/>
        </w:trPr>
        <w:tc>
          <w:tcPr>
            <w:tcW w:w="3400" w:type="dxa"/>
            <w:noWrap/>
            <w:hideMark/>
          </w:tcPr>
          <w:p w14:paraId="5BE72CFD" w14:textId="77777777" w:rsidR="008B0B7B" w:rsidRPr="007D4BF5" w:rsidRDefault="008B0B7B" w:rsidP="007F38D3">
            <w:pPr>
              <w:rPr>
                <w:lang w:eastAsia="de-DE"/>
              </w:rPr>
            </w:pPr>
            <w:r w:rsidRPr="007D4BF5">
              <w:rPr>
                <w:lang w:eastAsia="de-DE"/>
              </w:rPr>
              <w:t>- as % of revenue</w:t>
            </w:r>
          </w:p>
        </w:tc>
        <w:tc>
          <w:tcPr>
            <w:tcW w:w="2700" w:type="dxa"/>
            <w:noWrap/>
            <w:hideMark/>
          </w:tcPr>
          <w:p w14:paraId="4EB5CDFD" w14:textId="77777777" w:rsidR="008B0B7B" w:rsidRPr="007D4BF5" w:rsidRDefault="008B0B7B" w:rsidP="007F38D3">
            <w:pPr>
              <w:rPr>
                <w:lang w:eastAsia="de-DE"/>
              </w:rPr>
            </w:pPr>
            <w:r w:rsidRPr="007D4BF5">
              <w:rPr>
                <w:lang w:eastAsia="de-DE"/>
              </w:rPr>
              <w:t xml:space="preserve">18.5% </w:t>
            </w:r>
          </w:p>
        </w:tc>
        <w:tc>
          <w:tcPr>
            <w:tcW w:w="2700" w:type="dxa"/>
            <w:noWrap/>
            <w:hideMark/>
          </w:tcPr>
          <w:p w14:paraId="2FAC38DB" w14:textId="77777777" w:rsidR="008B0B7B" w:rsidRPr="007D4BF5" w:rsidRDefault="008B0B7B" w:rsidP="007F38D3">
            <w:pPr>
              <w:rPr>
                <w:lang w:eastAsia="de-DE"/>
              </w:rPr>
            </w:pPr>
            <w:r w:rsidRPr="007D4BF5">
              <w:rPr>
                <w:lang w:eastAsia="de-DE"/>
              </w:rPr>
              <w:t>10.5%</w:t>
            </w:r>
          </w:p>
        </w:tc>
        <w:tc>
          <w:tcPr>
            <w:tcW w:w="2640" w:type="dxa"/>
            <w:noWrap/>
            <w:hideMark/>
          </w:tcPr>
          <w:p w14:paraId="7D0DEA25" w14:textId="77777777" w:rsidR="008B0B7B" w:rsidRPr="007D4BF5" w:rsidRDefault="008B0B7B" w:rsidP="007F38D3">
            <w:pPr>
              <w:rPr>
                <w:lang w:eastAsia="de-DE"/>
              </w:rPr>
            </w:pPr>
            <w:r w:rsidRPr="007D4BF5">
              <w:rPr>
                <w:lang w:eastAsia="de-DE"/>
              </w:rPr>
              <w:t xml:space="preserve">0.1% </w:t>
            </w:r>
          </w:p>
        </w:tc>
      </w:tr>
      <w:tr w:rsidR="008B0B7B" w:rsidRPr="007D4BF5" w14:paraId="51450065" w14:textId="77777777" w:rsidTr="007F38D3">
        <w:trPr>
          <w:trHeight w:val="282"/>
        </w:trPr>
        <w:tc>
          <w:tcPr>
            <w:tcW w:w="3400" w:type="dxa"/>
            <w:noWrap/>
            <w:hideMark/>
          </w:tcPr>
          <w:p w14:paraId="3AC020E2" w14:textId="77777777" w:rsidR="008B0B7B" w:rsidRPr="007D4BF5" w:rsidRDefault="008B0B7B" w:rsidP="007F38D3">
            <w:pPr>
              <w:rPr>
                <w:lang w:eastAsia="de-DE"/>
              </w:rPr>
            </w:pPr>
            <w:r w:rsidRPr="007D4BF5">
              <w:rPr>
                <w:lang w:eastAsia="de-DE"/>
              </w:rPr>
              <w:t>Cash flow from operating activities</w:t>
            </w:r>
          </w:p>
        </w:tc>
        <w:tc>
          <w:tcPr>
            <w:tcW w:w="2700" w:type="dxa"/>
            <w:noWrap/>
            <w:hideMark/>
          </w:tcPr>
          <w:p w14:paraId="77BA4821" w14:textId="77777777" w:rsidR="008B0B7B" w:rsidRPr="007D4BF5" w:rsidRDefault="008B0B7B" w:rsidP="007F38D3">
            <w:pPr>
              <w:rPr>
                <w:lang w:eastAsia="de-DE"/>
              </w:rPr>
            </w:pPr>
            <w:r w:rsidRPr="007D4BF5">
              <w:rPr>
                <w:lang w:eastAsia="de-DE"/>
              </w:rPr>
              <w:t>58.3</w:t>
            </w:r>
          </w:p>
        </w:tc>
        <w:tc>
          <w:tcPr>
            <w:tcW w:w="2700" w:type="dxa"/>
            <w:noWrap/>
            <w:hideMark/>
          </w:tcPr>
          <w:p w14:paraId="406E0583" w14:textId="77777777" w:rsidR="008B0B7B" w:rsidRPr="007D4BF5" w:rsidRDefault="008B0B7B" w:rsidP="007F38D3">
            <w:pPr>
              <w:rPr>
                <w:lang w:eastAsia="de-DE"/>
              </w:rPr>
            </w:pPr>
            <w:r w:rsidRPr="007D4BF5">
              <w:rPr>
                <w:lang w:eastAsia="de-DE"/>
              </w:rPr>
              <w:t> </w:t>
            </w:r>
          </w:p>
        </w:tc>
        <w:tc>
          <w:tcPr>
            <w:tcW w:w="2640" w:type="dxa"/>
            <w:noWrap/>
            <w:hideMark/>
          </w:tcPr>
          <w:p w14:paraId="57D63F3E" w14:textId="77777777" w:rsidR="008B0B7B" w:rsidRPr="007D4BF5" w:rsidRDefault="008B0B7B" w:rsidP="007F38D3">
            <w:pPr>
              <w:rPr>
                <w:lang w:eastAsia="de-DE"/>
              </w:rPr>
            </w:pPr>
            <w:r w:rsidRPr="007D4BF5">
              <w:rPr>
                <w:lang w:eastAsia="de-DE"/>
              </w:rPr>
              <w:t xml:space="preserve">37.2 </w:t>
            </w:r>
          </w:p>
        </w:tc>
      </w:tr>
      <w:tr w:rsidR="008B0B7B" w:rsidRPr="007D4BF5" w14:paraId="1CBBC3CE" w14:textId="77777777" w:rsidTr="007F38D3">
        <w:trPr>
          <w:trHeight w:val="282"/>
        </w:trPr>
        <w:tc>
          <w:tcPr>
            <w:tcW w:w="3400" w:type="dxa"/>
            <w:noWrap/>
            <w:hideMark/>
          </w:tcPr>
          <w:p w14:paraId="5F2CF87C" w14:textId="77777777" w:rsidR="008B0B7B" w:rsidRPr="007D4BF5" w:rsidRDefault="008B0B7B" w:rsidP="007F38D3">
            <w:pPr>
              <w:rPr>
                <w:lang w:eastAsia="de-DE"/>
              </w:rPr>
            </w:pPr>
            <w:r w:rsidRPr="007D4BF5">
              <w:rPr>
                <w:lang w:eastAsia="de-DE"/>
              </w:rPr>
              <w:t>Capital expenditures</w:t>
            </w:r>
          </w:p>
        </w:tc>
        <w:tc>
          <w:tcPr>
            <w:tcW w:w="2700" w:type="dxa"/>
            <w:noWrap/>
            <w:hideMark/>
          </w:tcPr>
          <w:p w14:paraId="5B45860F" w14:textId="77777777" w:rsidR="008B0B7B" w:rsidRPr="007D4BF5" w:rsidRDefault="008B0B7B" w:rsidP="007F38D3">
            <w:pPr>
              <w:rPr>
                <w:lang w:eastAsia="de-DE"/>
              </w:rPr>
            </w:pPr>
            <w:r w:rsidRPr="007D4BF5">
              <w:rPr>
                <w:lang w:eastAsia="de-DE"/>
              </w:rPr>
              <w:t>(33.3)</w:t>
            </w:r>
          </w:p>
        </w:tc>
        <w:tc>
          <w:tcPr>
            <w:tcW w:w="2700" w:type="dxa"/>
            <w:noWrap/>
            <w:hideMark/>
          </w:tcPr>
          <w:p w14:paraId="1534E590" w14:textId="77777777" w:rsidR="008B0B7B" w:rsidRPr="007D4BF5" w:rsidRDefault="008B0B7B" w:rsidP="007F38D3">
            <w:pPr>
              <w:rPr>
                <w:lang w:eastAsia="de-DE"/>
              </w:rPr>
            </w:pPr>
            <w:r w:rsidRPr="007D4BF5">
              <w:rPr>
                <w:lang w:eastAsia="de-DE"/>
              </w:rPr>
              <w:t> </w:t>
            </w:r>
          </w:p>
        </w:tc>
        <w:tc>
          <w:tcPr>
            <w:tcW w:w="2640" w:type="dxa"/>
            <w:noWrap/>
            <w:hideMark/>
          </w:tcPr>
          <w:p w14:paraId="29577F4F" w14:textId="77777777" w:rsidR="008B0B7B" w:rsidRPr="007D4BF5" w:rsidRDefault="008B0B7B" w:rsidP="007F38D3">
            <w:pPr>
              <w:rPr>
                <w:lang w:eastAsia="de-DE"/>
              </w:rPr>
            </w:pPr>
            <w:r w:rsidRPr="007D4BF5">
              <w:rPr>
                <w:lang w:eastAsia="de-DE"/>
              </w:rPr>
              <w:t>(33.7)</w:t>
            </w:r>
          </w:p>
        </w:tc>
      </w:tr>
      <w:tr w:rsidR="008B0B7B" w:rsidRPr="007D4BF5" w14:paraId="54814169" w14:textId="77777777" w:rsidTr="007F38D3">
        <w:trPr>
          <w:trHeight w:val="282"/>
        </w:trPr>
        <w:tc>
          <w:tcPr>
            <w:tcW w:w="3400" w:type="dxa"/>
            <w:noWrap/>
            <w:hideMark/>
          </w:tcPr>
          <w:p w14:paraId="6A5381F6" w14:textId="77777777" w:rsidR="008B0B7B" w:rsidRPr="007D4BF5" w:rsidRDefault="008B0B7B" w:rsidP="007F38D3">
            <w:pPr>
              <w:rPr>
                <w:lang w:eastAsia="de-DE"/>
              </w:rPr>
            </w:pPr>
            <w:r w:rsidRPr="007D4BF5">
              <w:rPr>
                <w:lang w:eastAsia="de-DE"/>
              </w:rPr>
              <w:t>Free cash flow</w:t>
            </w:r>
          </w:p>
        </w:tc>
        <w:tc>
          <w:tcPr>
            <w:tcW w:w="2700" w:type="dxa"/>
            <w:noWrap/>
            <w:hideMark/>
          </w:tcPr>
          <w:p w14:paraId="20ADA930" w14:textId="77777777" w:rsidR="008B0B7B" w:rsidRPr="007D4BF5" w:rsidRDefault="008B0B7B" w:rsidP="007F38D3">
            <w:pPr>
              <w:rPr>
                <w:lang w:eastAsia="de-DE"/>
              </w:rPr>
            </w:pPr>
            <w:r w:rsidRPr="007D4BF5">
              <w:rPr>
                <w:lang w:eastAsia="de-DE"/>
              </w:rPr>
              <w:t>24.8</w:t>
            </w:r>
          </w:p>
        </w:tc>
        <w:tc>
          <w:tcPr>
            <w:tcW w:w="2700" w:type="dxa"/>
            <w:noWrap/>
            <w:hideMark/>
          </w:tcPr>
          <w:p w14:paraId="414062B7" w14:textId="77777777" w:rsidR="008B0B7B" w:rsidRPr="007D4BF5" w:rsidRDefault="008B0B7B" w:rsidP="007F38D3">
            <w:pPr>
              <w:rPr>
                <w:lang w:eastAsia="de-DE"/>
              </w:rPr>
            </w:pPr>
            <w:r w:rsidRPr="007D4BF5">
              <w:rPr>
                <w:lang w:eastAsia="de-DE"/>
              </w:rPr>
              <w:t> </w:t>
            </w:r>
          </w:p>
        </w:tc>
        <w:tc>
          <w:tcPr>
            <w:tcW w:w="2640" w:type="dxa"/>
            <w:noWrap/>
            <w:hideMark/>
          </w:tcPr>
          <w:p w14:paraId="5E17DCDF" w14:textId="77777777" w:rsidR="008B0B7B" w:rsidRPr="007D4BF5" w:rsidRDefault="008B0B7B" w:rsidP="007F38D3">
            <w:pPr>
              <w:rPr>
                <w:lang w:eastAsia="de-DE"/>
              </w:rPr>
            </w:pPr>
            <w:r w:rsidRPr="007D4BF5">
              <w:rPr>
                <w:lang w:eastAsia="de-DE"/>
              </w:rPr>
              <w:t xml:space="preserve">3.5 </w:t>
            </w:r>
          </w:p>
        </w:tc>
      </w:tr>
      <w:tr w:rsidR="008B0B7B" w:rsidRPr="00BD0FB8" w14:paraId="63D9BCCC" w14:textId="77777777" w:rsidTr="007F38D3">
        <w:trPr>
          <w:trHeight w:val="282"/>
        </w:trPr>
        <w:tc>
          <w:tcPr>
            <w:tcW w:w="3400" w:type="dxa"/>
            <w:noWrap/>
            <w:hideMark/>
          </w:tcPr>
          <w:p w14:paraId="7DB73048" w14:textId="77777777" w:rsidR="008B0B7B" w:rsidRPr="007D4BF5" w:rsidRDefault="008B0B7B" w:rsidP="007F38D3">
            <w:pPr>
              <w:rPr>
                <w:lang w:eastAsia="de-DE"/>
              </w:rPr>
            </w:pPr>
            <w:r w:rsidRPr="007D4BF5">
              <w:rPr>
                <w:lang w:eastAsia="de-DE"/>
              </w:rPr>
              <w:t> </w:t>
            </w:r>
          </w:p>
        </w:tc>
        <w:tc>
          <w:tcPr>
            <w:tcW w:w="2700" w:type="dxa"/>
            <w:noWrap/>
            <w:hideMark/>
          </w:tcPr>
          <w:p w14:paraId="77C443DF" w14:textId="77777777" w:rsidR="008B0B7B" w:rsidRPr="00BD0FB8" w:rsidRDefault="008B0B7B" w:rsidP="007F38D3">
            <w:pPr>
              <w:rPr>
                <w:rFonts w:asciiTheme="majorHAnsi" w:hAnsiTheme="majorHAnsi" w:cstheme="majorHAnsi"/>
                <w:lang w:eastAsia="de-DE"/>
              </w:rPr>
            </w:pPr>
            <w:r w:rsidRPr="00BD0FB8">
              <w:rPr>
                <w:rFonts w:asciiTheme="majorHAnsi" w:hAnsiTheme="majorHAnsi" w:cstheme="majorHAnsi"/>
                <w:lang w:eastAsia="de-DE"/>
              </w:rPr>
              <w:t xml:space="preserve">As of </w:t>
            </w:r>
            <w:proofErr w:type="gramStart"/>
            <w:r w:rsidRPr="00BD0FB8">
              <w:rPr>
                <w:rFonts w:asciiTheme="majorHAnsi" w:hAnsiTheme="majorHAnsi" w:cstheme="majorHAnsi"/>
                <w:lang w:eastAsia="de-DE"/>
              </w:rPr>
              <w:t>31 December 2025</w:t>
            </w:r>
            <w:proofErr w:type="gramEnd"/>
          </w:p>
        </w:tc>
        <w:tc>
          <w:tcPr>
            <w:tcW w:w="2700" w:type="dxa"/>
            <w:hideMark/>
          </w:tcPr>
          <w:p w14:paraId="3F6CBCD2" w14:textId="77777777" w:rsidR="008B0B7B" w:rsidRPr="00BD0FB8" w:rsidRDefault="008B0B7B" w:rsidP="007F38D3">
            <w:pPr>
              <w:rPr>
                <w:rFonts w:asciiTheme="majorHAnsi" w:hAnsiTheme="majorHAnsi" w:cstheme="majorHAnsi"/>
                <w:lang w:eastAsia="de-DE"/>
              </w:rPr>
            </w:pPr>
            <w:r w:rsidRPr="00BD0FB8">
              <w:rPr>
                <w:rFonts w:asciiTheme="majorHAnsi" w:hAnsiTheme="majorHAnsi" w:cstheme="majorHAnsi"/>
                <w:lang w:eastAsia="de-DE"/>
              </w:rPr>
              <w:t> </w:t>
            </w:r>
          </w:p>
        </w:tc>
        <w:tc>
          <w:tcPr>
            <w:tcW w:w="2640" w:type="dxa"/>
            <w:noWrap/>
            <w:hideMark/>
          </w:tcPr>
          <w:p w14:paraId="4994930A" w14:textId="77777777" w:rsidR="008B0B7B" w:rsidRPr="00BD0FB8" w:rsidRDefault="008B0B7B" w:rsidP="007F38D3">
            <w:pPr>
              <w:rPr>
                <w:rFonts w:asciiTheme="majorHAnsi" w:hAnsiTheme="majorHAnsi" w:cstheme="majorHAnsi"/>
                <w:lang w:eastAsia="de-DE"/>
              </w:rPr>
            </w:pPr>
            <w:r w:rsidRPr="00BD0FB8">
              <w:rPr>
                <w:rFonts w:asciiTheme="majorHAnsi" w:hAnsiTheme="majorHAnsi" w:cstheme="majorHAnsi"/>
                <w:lang w:eastAsia="de-DE"/>
              </w:rPr>
              <w:t xml:space="preserve">As of </w:t>
            </w:r>
            <w:proofErr w:type="gramStart"/>
            <w:r w:rsidRPr="00BD0FB8">
              <w:rPr>
                <w:rFonts w:asciiTheme="majorHAnsi" w:hAnsiTheme="majorHAnsi" w:cstheme="majorHAnsi"/>
                <w:lang w:eastAsia="de-DE"/>
              </w:rPr>
              <w:t>31 December 2024</w:t>
            </w:r>
            <w:proofErr w:type="gramEnd"/>
          </w:p>
        </w:tc>
      </w:tr>
      <w:tr w:rsidR="008B0B7B" w:rsidRPr="007D4BF5" w14:paraId="66F7329B" w14:textId="77777777" w:rsidTr="007F38D3">
        <w:trPr>
          <w:trHeight w:val="282"/>
        </w:trPr>
        <w:tc>
          <w:tcPr>
            <w:tcW w:w="3400" w:type="dxa"/>
            <w:noWrap/>
            <w:hideMark/>
          </w:tcPr>
          <w:p w14:paraId="332CD9F8" w14:textId="77777777" w:rsidR="008B0B7B" w:rsidRPr="007D4BF5" w:rsidRDefault="008B0B7B" w:rsidP="007F38D3">
            <w:pPr>
              <w:rPr>
                <w:lang w:eastAsia="de-DE"/>
              </w:rPr>
            </w:pPr>
            <w:r w:rsidRPr="007D4BF5">
              <w:rPr>
                <w:lang w:eastAsia="de-DE"/>
              </w:rPr>
              <w:t>Net cash (Net debt)</w:t>
            </w:r>
          </w:p>
        </w:tc>
        <w:tc>
          <w:tcPr>
            <w:tcW w:w="2700" w:type="dxa"/>
            <w:noWrap/>
            <w:hideMark/>
          </w:tcPr>
          <w:p w14:paraId="5AB2BC3C" w14:textId="2C374B7B" w:rsidR="008B0B7B" w:rsidRPr="007D4BF5" w:rsidRDefault="008B0B7B" w:rsidP="007F38D3">
            <w:pPr>
              <w:rPr>
                <w:lang w:eastAsia="de-DE"/>
              </w:rPr>
            </w:pPr>
            <w:r w:rsidRPr="009F29CE">
              <w:rPr>
                <w:lang w:eastAsia="de-DE"/>
              </w:rPr>
              <w:t>7</w:t>
            </w:r>
            <w:r w:rsidR="009F29CE" w:rsidRPr="009F29CE">
              <w:rPr>
                <w:lang w:eastAsia="de-DE"/>
              </w:rPr>
              <w:t>1.7</w:t>
            </w:r>
          </w:p>
        </w:tc>
        <w:tc>
          <w:tcPr>
            <w:tcW w:w="2700" w:type="dxa"/>
            <w:noWrap/>
            <w:hideMark/>
          </w:tcPr>
          <w:p w14:paraId="15EC2C08" w14:textId="77777777" w:rsidR="008B0B7B" w:rsidRPr="007D4BF5" w:rsidRDefault="008B0B7B" w:rsidP="007F38D3">
            <w:pPr>
              <w:rPr>
                <w:lang w:eastAsia="de-DE"/>
              </w:rPr>
            </w:pPr>
            <w:r w:rsidRPr="007D4BF5">
              <w:rPr>
                <w:lang w:eastAsia="de-DE"/>
              </w:rPr>
              <w:t> </w:t>
            </w:r>
          </w:p>
        </w:tc>
        <w:tc>
          <w:tcPr>
            <w:tcW w:w="2640" w:type="dxa"/>
            <w:noWrap/>
            <w:hideMark/>
          </w:tcPr>
          <w:p w14:paraId="2061E768" w14:textId="77777777" w:rsidR="008B0B7B" w:rsidRPr="007D4BF5" w:rsidRDefault="008B0B7B" w:rsidP="007F38D3">
            <w:pPr>
              <w:rPr>
                <w:lang w:eastAsia="de-DE"/>
              </w:rPr>
            </w:pPr>
            <w:r w:rsidRPr="007D4BF5">
              <w:rPr>
                <w:lang w:eastAsia="de-DE"/>
              </w:rPr>
              <w:t xml:space="preserve">54.4 </w:t>
            </w:r>
          </w:p>
        </w:tc>
      </w:tr>
      <w:tr w:rsidR="008B0B7B" w:rsidRPr="007D4BF5" w14:paraId="48AFCDE8" w14:textId="77777777" w:rsidTr="007F38D3">
        <w:trPr>
          <w:trHeight w:val="282"/>
        </w:trPr>
        <w:tc>
          <w:tcPr>
            <w:tcW w:w="3400" w:type="dxa"/>
            <w:noWrap/>
            <w:hideMark/>
          </w:tcPr>
          <w:p w14:paraId="345D5C7F" w14:textId="77777777" w:rsidR="008B0B7B" w:rsidRPr="007D4BF5" w:rsidRDefault="008B0B7B" w:rsidP="007F38D3">
            <w:pPr>
              <w:rPr>
                <w:lang w:eastAsia="de-DE"/>
              </w:rPr>
            </w:pPr>
            <w:r w:rsidRPr="007D4BF5">
              <w:rPr>
                <w:lang w:eastAsia="de-DE"/>
              </w:rPr>
              <w:t>Number of employees (FTE)</w:t>
            </w:r>
          </w:p>
        </w:tc>
        <w:tc>
          <w:tcPr>
            <w:tcW w:w="2700" w:type="dxa"/>
            <w:noWrap/>
            <w:hideMark/>
          </w:tcPr>
          <w:p w14:paraId="7CB23519" w14:textId="37735E67" w:rsidR="008B0B7B" w:rsidRPr="007D4BF5" w:rsidRDefault="008B0B7B" w:rsidP="007F38D3">
            <w:pPr>
              <w:rPr>
                <w:lang w:eastAsia="de-DE"/>
              </w:rPr>
            </w:pPr>
            <w:r w:rsidRPr="007D4BF5">
              <w:rPr>
                <w:lang w:eastAsia="de-DE"/>
              </w:rPr>
              <w:t xml:space="preserve">                                  1</w:t>
            </w:r>
            <w:r w:rsidR="003926DF">
              <w:rPr>
                <w:lang w:eastAsia="de-DE"/>
              </w:rPr>
              <w:t>,</w:t>
            </w:r>
            <w:r w:rsidRPr="007D4BF5">
              <w:rPr>
                <w:lang w:eastAsia="de-DE"/>
              </w:rPr>
              <w:t xml:space="preserve">280 </w:t>
            </w:r>
          </w:p>
        </w:tc>
        <w:tc>
          <w:tcPr>
            <w:tcW w:w="2700" w:type="dxa"/>
            <w:noWrap/>
            <w:hideMark/>
          </w:tcPr>
          <w:p w14:paraId="5BABEC6D" w14:textId="77777777" w:rsidR="008B0B7B" w:rsidRPr="007D4BF5" w:rsidRDefault="008B0B7B" w:rsidP="007F38D3">
            <w:pPr>
              <w:rPr>
                <w:lang w:eastAsia="de-DE"/>
              </w:rPr>
            </w:pPr>
            <w:r w:rsidRPr="007D4BF5">
              <w:rPr>
                <w:lang w:eastAsia="de-DE"/>
              </w:rPr>
              <w:t> </w:t>
            </w:r>
          </w:p>
        </w:tc>
        <w:tc>
          <w:tcPr>
            <w:tcW w:w="2640" w:type="dxa"/>
            <w:noWrap/>
            <w:hideMark/>
          </w:tcPr>
          <w:p w14:paraId="6D9A049C" w14:textId="454DCCA1" w:rsidR="008B0B7B" w:rsidRPr="007D4BF5" w:rsidRDefault="008B0B7B" w:rsidP="007F38D3">
            <w:pPr>
              <w:rPr>
                <w:lang w:eastAsia="de-DE"/>
              </w:rPr>
            </w:pPr>
            <w:r w:rsidRPr="007D4BF5">
              <w:rPr>
                <w:lang w:eastAsia="de-DE"/>
              </w:rPr>
              <w:t xml:space="preserve">                                 1</w:t>
            </w:r>
            <w:r w:rsidR="003926DF">
              <w:rPr>
                <w:lang w:eastAsia="de-DE"/>
              </w:rPr>
              <w:t>,</w:t>
            </w:r>
            <w:r w:rsidRPr="007D4BF5">
              <w:rPr>
                <w:lang w:eastAsia="de-DE"/>
              </w:rPr>
              <w:t xml:space="preserve">164 </w:t>
            </w:r>
          </w:p>
        </w:tc>
      </w:tr>
    </w:tbl>
    <w:p w14:paraId="7F34FABC" w14:textId="77777777" w:rsidR="008B0B7B" w:rsidRDefault="008B0B7B" w:rsidP="005F7DA7">
      <w:pPr>
        <w:rPr>
          <w:lang w:eastAsia="de-DE"/>
        </w:rPr>
      </w:pPr>
    </w:p>
    <w:p w14:paraId="49B773F5" w14:textId="07724EA8" w:rsidR="00DB36F1" w:rsidRPr="00DB36F1" w:rsidRDefault="00DB36F1" w:rsidP="005F7DA7">
      <w:pPr>
        <w:rPr>
          <w:sz w:val="18"/>
          <w:szCs w:val="18"/>
          <w:lang w:eastAsia="de-DE"/>
        </w:rPr>
      </w:pPr>
      <w:r w:rsidRPr="00DB36F1">
        <w:rPr>
          <w:i/>
          <w:iCs/>
          <w:sz w:val="18"/>
          <w:szCs w:val="18"/>
          <w:lang w:eastAsia="de-DE"/>
        </w:rPr>
        <w:t>*Extraordinary impairment of CHF 28.6 million at the EBITDA level and CHF 33.4 million at the net profit level. All extraordinary costs resulting from the termination of condition monitoring activities in Berlin were charged in full to the income statement for the first half of 2024 and adjusted for comparative purposes.</w:t>
      </w:r>
    </w:p>
    <w:p w14:paraId="164C02E8" w14:textId="77777777" w:rsidR="008B0B7B" w:rsidRDefault="008B0B7B" w:rsidP="005F7DA7">
      <w:pPr>
        <w:rPr>
          <w:lang w:eastAsia="de-DE"/>
        </w:rPr>
      </w:pPr>
    </w:p>
    <w:p w14:paraId="29F34F1D" w14:textId="77777777" w:rsidR="0037045C" w:rsidRDefault="0037045C" w:rsidP="000900AB">
      <w:pPr>
        <w:rPr>
          <w:lang w:eastAsia="de-DE"/>
        </w:rPr>
      </w:pPr>
    </w:p>
    <w:p w14:paraId="65452E2F" w14:textId="33D8C1EC" w:rsidR="000900AB" w:rsidRDefault="000900AB" w:rsidP="000900AB">
      <w:pPr>
        <w:rPr>
          <w:lang w:eastAsia="de-DE"/>
        </w:rPr>
      </w:pPr>
      <w:r>
        <w:rPr>
          <w:lang w:eastAsia="de-DE"/>
        </w:rPr>
        <w:lastRenderedPageBreak/>
        <w:t xml:space="preserve">Thanks to </w:t>
      </w:r>
      <w:r w:rsidR="004063B0">
        <w:rPr>
          <w:lang w:eastAsia="de-DE"/>
        </w:rPr>
        <w:t>the</w:t>
      </w:r>
      <w:r>
        <w:rPr>
          <w:lang w:eastAsia="de-DE"/>
        </w:rPr>
        <w:t xml:space="preserve"> strong market position and innovative products, </w:t>
      </w:r>
      <w:r w:rsidR="004063B0">
        <w:rPr>
          <w:lang w:eastAsia="de-DE"/>
        </w:rPr>
        <w:t>Sensirion</w:t>
      </w:r>
      <w:r>
        <w:rPr>
          <w:lang w:eastAsia="de-DE"/>
        </w:rPr>
        <w:t xml:space="preserve"> delivered robust revenue and profitability growth in </w:t>
      </w:r>
      <w:r w:rsidR="00CF4082">
        <w:rPr>
          <w:lang w:eastAsia="de-DE"/>
        </w:rPr>
        <w:t>2025</w:t>
      </w:r>
      <w:r w:rsidR="00CF4082" w:rsidRPr="00AE28FD">
        <w:rPr>
          <w:lang w:eastAsia="de-DE"/>
        </w:rPr>
        <w:t>—</w:t>
      </w:r>
      <w:r w:rsidR="00CF4082">
        <w:rPr>
          <w:lang w:eastAsia="de-DE"/>
        </w:rPr>
        <w:t xml:space="preserve">despite </w:t>
      </w:r>
      <w:r>
        <w:rPr>
          <w:lang w:eastAsia="de-DE"/>
        </w:rPr>
        <w:t xml:space="preserve">a highly challenging market environment characterized by geopolitical uncertainty, trade tariffs and a significantly stronger Swiss franc. The biggest single growth driver was the expansion of </w:t>
      </w:r>
      <w:r w:rsidR="00E809F9">
        <w:rPr>
          <w:lang w:eastAsia="de-DE"/>
        </w:rPr>
        <w:t xml:space="preserve">the </w:t>
      </w:r>
      <w:r>
        <w:rPr>
          <w:lang w:eastAsia="de-DE"/>
        </w:rPr>
        <w:t>new business with A2L leakage sensors for air conditioning systems in the US. However, market share also increased in other application areas</w:t>
      </w:r>
      <w:r w:rsidR="00FB01C9">
        <w:rPr>
          <w:lang w:eastAsia="de-DE"/>
        </w:rPr>
        <w:t xml:space="preserve"> </w:t>
      </w:r>
      <w:r w:rsidR="00FB01C9" w:rsidRPr="00FB01C9">
        <w:rPr>
          <w:lang w:eastAsia="de-DE"/>
        </w:rPr>
        <w:t>across all markets</w:t>
      </w:r>
      <w:r>
        <w:rPr>
          <w:lang w:eastAsia="de-DE"/>
        </w:rPr>
        <w:t xml:space="preserve">. Three of </w:t>
      </w:r>
      <w:r w:rsidR="00E809F9">
        <w:rPr>
          <w:lang w:eastAsia="de-DE"/>
        </w:rPr>
        <w:t>the</w:t>
      </w:r>
      <w:r>
        <w:rPr>
          <w:lang w:eastAsia="de-DE"/>
        </w:rPr>
        <w:t xml:space="preserve"> four end markets recorded significant growth. Only revenue in the automotive market remained flat due to structural challenges in the Western automotive industry. </w:t>
      </w:r>
    </w:p>
    <w:p w14:paraId="2A09B2DB" w14:textId="77777777" w:rsidR="000900AB" w:rsidRDefault="000900AB" w:rsidP="000900AB">
      <w:pPr>
        <w:rPr>
          <w:lang w:eastAsia="de-DE"/>
        </w:rPr>
      </w:pPr>
    </w:p>
    <w:p w14:paraId="511F3B66" w14:textId="7F18E989" w:rsidR="000900AB" w:rsidRDefault="00E809F9" w:rsidP="000900AB">
      <w:pPr>
        <w:rPr>
          <w:lang w:eastAsia="de-DE"/>
        </w:rPr>
      </w:pPr>
      <w:r>
        <w:rPr>
          <w:lang w:eastAsia="de-DE"/>
        </w:rPr>
        <w:t xml:space="preserve">The </w:t>
      </w:r>
      <w:r w:rsidR="000900AB" w:rsidRPr="00017BD4">
        <w:rPr>
          <w:lang w:eastAsia="de-DE"/>
        </w:rPr>
        <w:t xml:space="preserve">solid performance in 2025 </w:t>
      </w:r>
      <w:r w:rsidR="00A6046F" w:rsidRPr="00A6046F">
        <w:rPr>
          <w:lang w:eastAsia="de-DE"/>
        </w:rPr>
        <w:t xml:space="preserve">and the high market diversification </w:t>
      </w:r>
      <w:r w:rsidR="000900AB" w:rsidRPr="00017BD4">
        <w:rPr>
          <w:lang w:eastAsia="de-DE"/>
        </w:rPr>
        <w:t>give confidence and momentum for further growth in the coming years</w:t>
      </w:r>
      <w:r w:rsidR="000900AB">
        <w:rPr>
          <w:lang w:eastAsia="de-DE"/>
        </w:rPr>
        <w:t xml:space="preserve">: within just one year, </w:t>
      </w:r>
      <w:r w:rsidR="00524328">
        <w:rPr>
          <w:lang w:eastAsia="de-DE"/>
        </w:rPr>
        <w:t xml:space="preserve">Sensirion </w:t>
      </w:r>
      <w:r w:rsidR="000900AB">
        <w:rPr>
          <w:lang w:eastAsia="de-DE"/>
        </w:rPr>
        <w:t xml:space="preserve">established </w:t>
      </w:r>
      <w:r w:rsidR="00524328">
        <w:rPr>
          <w:lang w:eastAsia="de-DE"/>
        </w:rPr>
        <w:t>itself</w:t>
      </w:r>
      <w:r w:rsidR="000900AB">
        <w:rPr>
          <w:lang w:eastAsia="de-DE"/>
        </w:rPr>
        <w:t xml:space="preserve"> as the new global market leader for leakage sensors. </w:t>
      </w:r>
      <w:r w:rsidR="00524328">
        <w:rPr>
          <w:lang w:eastAsia="de-DE"/>
        </w:rPr>
        <w:t xml:space="preserve">The company </w:t>
      </w:r>
      <w:r w:rsidR="000900AB">
        <w:rPr>
          <w:lang w:eastAsia="de-DE"/>
        </w:rPr>
        <w:t xml:space="preserve">can now build on this strong position to continue developing the market across a range of applications. At the same time, </w:t>
      </w:r>
      <w:r w:rsidR="00524328">
        <w:rPr>
          <w:lang w:eastAsia="de-DE"/>
        </w:rPr>
        <w:t xml:space="preserve">Sensirion is </w:t>
      </w:r>
      <w:r w:rsidR="000900AB">
        <w:rPr>
          <w:lang w:eastAsia="de-DE"/>
        </w:rPr>
        <w:t xml:space="preserve">benefiting from broadly diversified growth areas in </w:t>
      </w:r>
      <w:r w:rsidR="00524328">
        <w:rPr>
          <w:lang w:eastAsia="de-DE"/>
        </w:rPr>
        <w:t>all</w:t>
      </w:r>
      <w:r w:rsidR="000900AB">
        <w:rPr>
          <w:lang w:eastAsia="de-DE"/>
        </w:rPr>
        <w:t xml:space="preserve"> end markets, which made noticeable progress in the reporting year. Thanks to </w:t>
      </w:r>
      <w:r w:rsidR="00524328">
        <w:rPr>
          <w:lang w:eastAsia="de-DE"/>
        </w:rPr>
        <w:t>the</w:t>
      </w:r>
      <w:r w:rsidR="000900AB">
        <w:rPr>
          <w:lang w:eastAsia="de-DE"/>
        </w:rPr>
        <w:t xml:space="preserve"> strong pipeline, innovative technologies, clear strategic priorities and high industrial resilience, </w:t>
      </w:r>
      <w:r w:rsidR="005929AF">
        <w:rPr>
          <w:lang w:eastAsia="de-DE"/>
        </w:rPr>
        <w:t>Sensirion is</w:t>
      </w:r>
      <w:r w:rsidR="000900AB">
        <w:rPr>
          <w:lang w:eastAsia="de-DE"/>
        </w:rPr>
        <w:t xml:space="preserve"> well positioned to seize opportunities and achieve sustainable growth.</w:t>
      </w:r>
    </w:p>
    <w:p w14:paraId="3636889B" w14:textId="77777777" w:rsidR="000900AB" w:rsidRDefault="000900AB" w:rsidP="000900AB">
      <w:pPr>
        <w:rPr>
          <w:lang w:eastAsia="de-DE"/>
        </w:rPr>
      </w:pPr>
    </w:p>
    <w:p w14:paraId="65235FE6" w14:textId="77777777" w:rsidR="000900AB" w:rsidRDefault="000900AB" w:rsidP="000900AB">
      <w:pPr>
        <w:pStyle w:val="SensirionSubtitle"/>
      </w:pPr>
      <w:r>
        <w:t>Revenue growth of 29 % with significantly improved earnings</w:t>
      </w:r>
    </w:p>
    <w:p w14:paraId="1922E03C" w14:textId="3C368D1D" w:rsidR="000900AB" w:rsidRDefault="000900AB" w:rsidP="000900AB">
      <w:pPr>
        <w:rPr>
          <w:lang w:eastAsia="de-DE"/>
        </w:rPr>
      </w:pPr>
      <w:r>
        <w:rPr>
          <w:lang w:eastAsia="de-DE"/>
        </w:rPr>
        <w:t xml:space="preserve">The financial year closed with revenue of CHF 342.4 million, slightly above the guidance level. This corresponds to a year-on-year increase of </w:t>
      </w:r>
      <w:r w:rsidR="00824254">
        <w:rPr>
          <w:lang w:eastAsia="de-DE"/>
        </w:rPr>
        <w:t>29.2</w:t>
      </w:r>
      <w:r w:rsidR="00824254">
        <w:t> </w:t>
      </w:r>
      <w:r w:rsidR="00824254">
        <w:rPr>
          <w:lang w:eastAsia="de-DE"/>
        </w:rPr>
        <w:t>%</w:t>
      </w:r>
      <w:r>
        <w:rPr>
          <w:lang w:eastAsia="de-DE"/>
        </w:rPr>
        <w:t xml:space="preserve"> in local currencies or </w:t>
      </w:r>
      <w:r w:rsidR="00D544E6">
        <w:rPr>
          <w:lang w:eastAsia="de-DE"/>
        </w:rPr>
        <w:t>23.8</w:t>
      </w:r>
      <w:r w:rsidR="00D544E6">
        <w:t> </w:t>
      </w:r>
      <w:r w:rsidR="00D544E6">
        <w:rPr>
          <w:lang w:eastAsia="de-DE"/>
        </w:rPr>
        <w:t>%</w:t>
      </w:r>
      <w:r>
        <w:rPr>
          <w:lang w:eastAsia="de-DE"/>
        </w:rPr>
        <w:t xml:space="preserve"> in Swiss francs. Thanks to an improved operational basis and higher capacity utilization, the gross margin improved significantly to 52.3 %. </w:t>
      </w:r>
      <w:r w:rsidRPr="00D521EB">
        <w:rPr>
          <w:lang w:eastAsia="de-DE"/>
        </w:rPr>
        <w:t xml:space="preserve">(vs. </w:t>
      </w:r>
      <w:r w:rsidR="007A13D4" w:rsidRPr="00D521EB">
        <w:rPr>
          <w:lang w:eastAsia="de-DE"/>
        </w:rPr>
        <w:t>49.2</w:t>
      </w:r>
      <w:r w:rsidR="007A13D4">
        <w:t> </w:t>
      </w:r>
      <w:r w:rsidR="00395F88" w:rsidRPr="00D521EB">
        <w:rPr>
          <w:lang w:eastAsia="de-DE"/>
        </w:rPr>
        <w:t>% in</w:t>
      </w:r>
      <w:r w:rsidRPr="00D521EB">
        <w:rPr>
          <w:lang w:eastAsia="de-DE"/>
        </w:rPr>
        <w:t xml:space="preserve"> the previous year on an adjusted basis).</w:t>
      </w:r>
    </w:p>
    <w:p w14:paraId="6A0123ED" w14:textId="640E5121" w:rsidR="000900AB" w:rsidRPr="00AE28FD" w:rsidRDefault="000900AB" w:rsidP="000900AB">
      <w:pPr>
        <w:rPr>
          <w:lang w:eastAsia="de-DE"/>
        </w:rPr>
      </w:pPr>
      <w:r>
        <w:rPr>
          <w:lang w:eastAsia="de-DE"/>
        </w:rPr>
        <w:t>With EBITDA of CHF 63.5 million (+119 % compared with the adjusted EBITDA in the previous year) and a margin of 18.5 %,</w:t>
      </w:r>
      <w:r w:rsidR="005929AF">
        <w:rPr>
          <w:lang w:eastAsia="de-DE"/>
        </w:rPr>
        <w:t xml:space="preserve"> Sensirion </w:t>
      </w:r>
      <w:r w:rsidR="00975C10">
        <w:rPr>
          <w:lang w:eastAsia="de-DE"/>
        </w:rPr>
        <w:t xml:space="preserve">was </w:t>
      </w:r>
      <w:r>
        <w:rPr>
          <w:lang w:eastAsia="de-DE"/>
        </w:rPr>
        <w:t xml:space="preserve">at the upper end of the guidance. Operating profit rose to CHF 42.8 million (12.5 % of revenue). This significant improvement in earnings demonstrates the effectiveness of </w:t>
      </w:r>
      <w:r w:rsidR="00B1658B">
        <w:rPr>
          <w:lang w:eastAsia="de-DE"/>
        </w:rPr>
        <w:t xml:space="preserve">the </w:t>
      </w:r>
      <w:r>
        <w:rPr>
          <w:lang w:eastAsia="de-DE"/>
        </w:rPr>
        <w:t xml:space="preserve">productivity programs and creates additional financial leeway to further advance </w:t>
      </w:r>
      <w:r w:rsidR="00B1658B">
        <w:rPr>
          <w:lang w:eastAsia="de-DE"/>
        </w:rPr>
        <w:t xml:space="preserve">the </w:t>
      </w:r>
      <w:r>
        <w:rPr>
          <w:lang w:eastAsia="de-DE"/>
        </w:rPr>
        <w:t xml:space="preserve">strategic growth projects. The strong appreciation of the Swiss franc remains a challenge for </w:t>
      </w:r>
      <w:r w:rsidR="00B1658B">
        <w:rPr>
          <w:lang w:eastAsia="de-DE"/>
        </w:rPr>
        <w:t>Sensirion</w:t>
      </w:r>
      <w:r>
        <w:rPr>
          <w:lang w:eastAsia="de-DE"/>
        </w:rPr>
        <w:t xml:space="preserve"> as an export-oriented company</w:t>
      </w:r>
      <w:r w:rsidRPr="007B08B2">
        <w:rPr>
          <w:lang w:eastAsia="de-DE"/>
        </w:rPr>
        <w:t xml:space="preserve">. However, </w:t>
      </w:r>
      <w:r w:rsidR="00B1658B">
        <w:rPr>
          <w:lang w:eastAsia="de-DE"/>
        </w:rPr>
        <w:t>the company</w:t>
      </w:r>
      <w:r w:rsidRPr="007B08B2">
        <w:rPr>
          <w:lang w:eastAsia="de-DE"/>
        </w:rPr>
        <w:t xml:space="preserve"> </w:t>
      </w:r>
      <w:r w:rsidR="00B1658B" w:rsidRPr="007B08B2">
        <w:rPr>
          <w:lang w:eastAsia="de-DE"/>
        </w:rPr>
        <w:t>was</w:t>
      </w:r>
      <w:r w:rsidRPr="007B08B2">
        <w:rPr>
          <w:lang w:eastAsia="de-DE"/>
        </w:rPr>
        <w:t xml:space="preserve"> </w:t>
      </w:r>
      <w:r w:rsidRPr="00AE28FD">
        <w:rPr>
          <w:lang w:eastAsia="de-DE"/>
        </w:rPr>
        <w:t xml:space="preserve">able to mitigate part of this impact thanks to </w:t>
      </w:r>
      <w:r w:rsidR="00FA5E55">
        <w:rPr>
          <w:lang w:eastAsia="de-DE"/>
        </w:rPr>
        <w:t>its</w:t>
      </w:r>
      <w:r w:rsidR="00B1658B">
        <w:rPr>
          <w:lang w:eastAsia="de-DE"/>
        </w:rPr>
        <w:t xml:space="preserve"> </w:t>
      </w:r>
      <w:r w:rsidRPr="00AE28FD">
        <w:rPr>
          <w:lang w:eastAsia="de-DE"/>
        </w:rPr>
        <w:t xml:space="preserve">strong value proposition targeted price adjustments, and natural hedging measures. At the same time, </w:t>
      </w:r>
      <w:r w:rsidR="00B1658B">
        <w:rPr>
          <w:lang w:eastAsia="de-DE"/>
        </w:rPr>
        <w:t>Sensirion is</w:t>
      </w:r>
      <w:r w:rsidRPr="00AE28FD">
        <w:rPr>
          <w:lang w:eastAsia="de-DE"/>
        </w:rPr>
        <w:t xml:space="preserve"> consistently working to reduce </w:t>
      </w:r>
      <w:r w:rsidR="00B1658B">
        <w:rPr>
          <w:lang w:eastAsia="de-DE"/>
        </w:rPr>
        <w:t xml:space="preserve">the </w:t>
      </w:r>
      <w:r w:rsidRPr="00AE28FD">
        <w:rPr>
          <w:lang w:eastAsia="de-DE"/>
        </w:rPr>
        <w:t xml:space="preserve">exposure to the Swiss franc. The ongoing internationalization of </w:t>
      </w:r>
      <w:r w:rsidR="00B1658B">
        <w:rPr>
          <w:lang w:eastAsia="de-DE"/>
        </w:rPr>
        <w:t>the</w:t>
      </w:r>
      <w:r w:rsidRPr="00AE28FD">
        <w:rPr>
          <w:lang w:eastAsia="de-DE"/>
        </w:rPr>
        <w:t xml:space="preserve"> cost structures and geographical diversification of </w:t>
      </w:r>
      <w:r w:rsidR="00B1658B">
        <w:rPr>
          <w:lang w:eastAsia="de-DE"/>
        </w:rPr>
        <w:t>the</w:t>
      </w:r>
      <w:r w:rsidRPr="00AE28FD">
        <w:rPr>
          <w:lang w:eastAsia="de-DE"/>
        </w:rPr>
        <w:t xml:space="preserve"> value creation are strengthening </w:t>
      </w:r>
      <w:r w:rsidR="00B1658B">
        <w:rPr>
          <w:lang w:eastAsia="de-DE"/>
        </w:rPr>
        <w:t>the</w:t>
      </w:r>
      <w:r w:rsidRPr="00AE28FD">
        <w:rPr>
          <w:lang w:eastAsia="de-DE"/>
        </w:rPr>
        <w:t xml:space="preserve"> resilience to exchange rate fluctuations.</w:t>
      </w:r>
    </w:p>
    <w:p w14:paraId="48CC3BE6" w14:textId="4F7B6061" w:rsidR="000900AB" w:rsidRDefault="000900AB" w:rsidP="000900AB">
      <w:pPr>
        <w:rPr>
          <w:lang w:eastAsia="de-DE"/>
        </w:rPr>
      </w:pPr>
      <w:r w:rsidRPr="00AE28FD">
        <w:rPr>
          <w:lang w:eastAsia="de-DE"/>
        </w:rPr>
        <w:t xml:space="preserve">Despite a negative financial result—due to the expected losses from the investment in the start-up </w:t>
      </w:r>
      <w:proofErr w:type="spellStart"/>
      <w:r w:rsidRPr="00AE28FD">
        <w:rPr>
          <w:lang w:eastAsia="de-DE"/>
        </w:rPr>
        <w:t>Lumiphase</w:t>
      </w:r>
      <w:proofErr w:type="spellEnd"/>
      <w:r w:rsidRPr="00AE28FD">
        <w:rPr>
          <w:lang w:eastAsia="de-DE"/>
        </w:rPr>
        <w:t xml:space="preserve"> and the strong Swiss franc—</w:t>
      </w:r>
      <w:r w:rsidR="00B1658B">
        <w:rPr>
          <w:lang w:eastAsia="de-DE"/>
        </w:rPr>
        <w:t xml:space="preserve">Sensirion </w:t>
      </w:r>
      <w:r w:rsidRPr="00AE28FD">
        <w:rPr>
          <w:lang w:eastAsia="de-DE"/>
        </w:rPr>
        <w:t>recorded a net profit of CHF 20.1 million and a significantly improved operating cash flow of CHF 58.3 million (+</w:t>
      </w:r>
      <w:r w:rsidR="00911E3F" w:rsidRPr="00AE28FD">
        <w:rPr>
          <w:lang w:eastAsia="de-DE"/>
        </w:rPr>
        <w:t>57</w:t>
      </w:r>
      <w:r w:rsidR="00911E3F">
        <w:t> </w:t>
      </w:r>
      <w:r w:rsidR="00911E3F" w:rsidRPr="00AE28FD">
        <w:rPr>
          <w:lang w:eastAsia="de-DE"/>
        </w:rPr>
        <w:t>%</w:t>
      </w:r>
      <w:r w:rsidRPr="00AE28FD">
        <w:rPr>
          <w:lang w:eastAsia="de-DE"/>
        </w:rPr>
        <w:t xml:space="preserve"> compared with the previous year).</w:t>
      </w:r>
      <w:r>
        <w:rPr>
          <w:lang w:eastAsia="de-DE"/>
        </w:rPr>
        <w:t xml:space="preserve"> </w:t>
      </w:r>
    </w:p>
    <w:p w14:paraId="5E22C99C" w14:textId="77777777" w:rsidR="000900AB" w:rsidRDefault="000900AB" w:rsidP="000900AB">
      <w:pPr>
        <w:rPr>
          <w:lang w:eastAsia="de-DE"/>
        </w:rPr>
      </w:pPr>
    </w:p>
    <w:p w14:paraId="779D4474" w14:textId="77777777" w:rsidR="000900AB" w:rsidRDefault="000900AB" w:rsidP="000900AB">
      <w:pPr>
        <w:pStyle w:val="SensirionSubtitle"/>
      </w:pPr>
      <w:r>
        <w:t>Strong revenue growth in three of the four end markets</w:t>
      </w:r>
    </w:p>
    <w:p w14:paraId="67580DB9" w14:textId="5B823436" w:rsidR="000900AB" w:rsidRDefault="000900AB" w:rsidP="000900AB">
      <w:pPr>
        <w:rPr>
          <w:lang w:eastAsia="de-DE"/>
        </w:rPr>
      </w:pPr>
      <w:r>
        <w:rPr>
          <w:lang w:eastAsia="de-DE"/>
        </w:rPr>
        <w:t>The automotive market recorded only slight revenue growth to CHF 78.8 million (+</w:t>
      </w:r>
      <w:r w:rsidR="003110B1">
        <w:rPr>
          <w:lang w:eastAsia="de-DE"/>
        </w:rPr>
        <w:t>2.1</w:t>
      </w:r>
      <w:r w:rsidR="003110B1">
        <w:t> </w:t>
      </w:r>
      <w:r w:rsidR="003110B1">
        <w:rPr>
          <w:lang w:eastAsia="de-DE"/>
        </w:rPr>
        <w:t>%</w:t>
      </w:r>
      <w:r>
        <w:rPr>
          <w:lang w:eastAsia="de-DE"/>
        </w:rPr>
        <w:t xml:space="preserve"> in local currencies or –</w:t>
      </w:r>
      <w:r w:rsidR="00750259">
        <w:rPr>
          <w:lang w:eastAsia="de-DE"/>
        </w:rPr>
        <w:t>2.3</w:t>
      </w:r>
      <w:r w:rsidR="00750259">
        <w:t> </w:t>
      </w:r>
      <w:r w:rsidR="00750259">
        <w:rPr>
          <w:lang w:eastAsia="de-DE"/>
        </w:rPr>
        <w:t xml:space="preserve">% </w:t>
      </w:r>
      <w:r>
        <w:rPr>
          <w:lang w:eastAsia="de-DE"/>
        </w:rPr>
        <w:t xml:space="preserve">in Swiss francs compared with the previous year). This development reflects the persistently difficult situation in the Western automotive industry, where </w:t>
      </w:r>
      <w:r w:rsidR="00B1658B">
        <w:rPr>
          <w:lang w:eastAsia="de-DE"/>
        </w:rPr>
        <w:t>Sensirion</w:t>
      </w:r>
      <w:r>
        <w:rPr>
          <w:lang w:eastAsia="de-DE"/>
        </w:rPr>
        <w:t xml:space="preserve"> traditionally ha</w:t>
      </w:r>
      <w:r w:rsidR="00B1658B">
        <w:rPr>
          <w:lang w:eastAsia="de-DE"/>
        </w:rPr>
        <w:t>s</w:t>
      </w:r>
      <w:r>
        <w:rPr>
          <w:lang w:eastAsia="de-DE"/>
        </w:rPr>
        <w:t xml:space="preserve"> a higher market share than in China. In addition, there were no significant product launches this year. </w:t>
      </w:r>
      <w:r w:rsidR="008B3F51">
        <w:rPr>
          <w:lang w:eastAsia="de-DE"/>
        </w:rPr>
        <w:t>The company</w:t>
      </w:r>
      <w:r w:rsidR="00E13CD9">
        <w:rPr>
          <w:lang w:eastAsia="de-DE"/>
        </w:rPr>
        <w:t xml:space="preserve"> was</w:t>
      </w:r>
      <w:r>
        <w:rPr>
          <w:lang w:eastAsia="de-DE"/>
        </w:rPr>
        <w:t xml:space="preserve">, however, able to secure important nominations from leading </w:t>
      </w:r>
      <w:proofErr w:type="gramStart"/>
      <w:r w:rsidR="00BE5ACD">
        <w:rPr>
          <w:lang w:eastAsia="de-DE"/>
        </w:rPr>
        <w:t>OEMs</w:t>
      </w:r>
      <w:r w:rsidR="00BE5ACD" w:rsidRPr="00AE28FD">
        <w:rPr>
          <w:lang w:eastAsia="de-DE"/>
        </w:rPr>
        <w:t>—</w:t>
      </w:r>
      <w:proofErr w:type="gramEnd"/>
      <w:r w:rsidR="00BE5ACD">
        <w:rPr>
          <w:lang w:eastAsia="de-DE"/>
        </w:rPr>
        <w:t>particularly</w:t>
      </w:r>
      <w:r>
        <w:rPr>
          <w:lang w:eastAsia="de-DE"/>
        </w:rPr>
        <w:t xml:space="preserve"> for innovative and emerging applications such as battery monitoring for electric vehicles. This forms a solid basis for future growth.</w:t>
      </w:r>
    </w:p>
    <w:p w14:paraId="38136E84" w14:textId="77777777" w:rsidR="000900AB" w:rsidRDefault="000900AB" w:rsidP="000900AB">
      <w:pPr>
        <w:rPr>
          <w:lang w:eastAsia="de-DE"/>
        </w:rPr>
      </w:pPr>
    </w:p>
    <w:p w14:paraId="5C837E8A" w14:textId="0B4F4351" w:rsidR="000900AB" w:rsidRDefault="000900AB" w:rsidP="000900AB">
      <w:pPr>
        <w:rPr>
          <w:lang w:eastAsia="de-DE"/>
        </w:rPr>
      </w:pPr>
      <w:r>
        <w:rPr>
          <w:lang w:eastAsia="de-DE"/>
        </w:rPr>
        <w:t>The medical technology market posted solid revenue growth to CHF 49.2 million (+</w:t>
      </w:r>
      <w:r w:rsidR="00A85CF8">
        <w:rPr>
          <w:lang w:eastAsia="de-DE"/>
        </w:rPr>
        <w:t>14.3</w:t>
      </w:r>
      <w:r w:rsidR="00A85CF8">
        <w:t> </w:t>
      </w:r>
      <w:r w:rsidR="00A85CF8">
        <w:rPr>
          <w:lang w:eastAsia="de-DE"/>
        </w:rPr>
        <w:t>%</w:t>
      </w:r>
      <w:r>
        <w:rPr>
          <w:lang w:eastAsia="de-DE"/>
        </w:rPr>
        <w:t xml:space="preserve"> in local currencies or 10.5 % in Swiss francs compared with the previous year) and benefited from new projects as well as the recovery in the CPAP</w:t>
      </w:r>
      <w:r w:rsidR="008B3F51">
        <w:rPr>
          <w:lang w:eastAsia="de-DE"/>
        </w:rPr>
        <w:t xml:space="preserve"> (</w:t>
      </w:r>
      <w:r w:rsidR="009952EE">
        <w:t>c</w:t>
      </w:r>
      <w:r w:rsidR="008B3F51" w:rsidRPr="00105FC1">
        <w:t xml:space="preserve">ontinuous </w:t>
      </w:r>
      <w:r w:rsidR="009952EE">
        <w:t>p</w:t>
      </w:r>
      <w:r w:rsidR="008B3F51" w:rsidRPr="00105FC1">
        <w:t xml:space="preserve">ositive </w:t>
      </w:r>
      <w:r w:rsidR="009952EE">
        <w:t>a</w:t>
      </w:r>
      <w:r w:rsidR="008B3F51" w:rsidRPr="00105FC1">
        <w:t xml:space="preserve">irway </w:t>
      </w:r>
      <w:r w:rsidR="009952EE">
        <w:t>p</w:t>
      </w:r>
      <w:r w:rsidR="008B3F51" w:rsidRPr="00105FC1">
        <w:t xml:space="preserve">ressure </w:t>
      </w:r>
      <w:r w:rsidR="008B3F51">
        <w:t xml:space="preserve">for </w:t>
      </w:r>
      <w:r w:rsidR="008B3F51" w:rsidRPr="00105FC1">
        <w:t>treatment for sleep apnea)</w:t>
      </w:r>
      <w:r w:rsidR="008B3F51">
        <w:t xml:space="preserve"> </w:t>
      </w:r>
      <w:r>
        <w:rPr>
          <w:lang w:eastAsia="de-DE"/>
        </w:rPr>
        <w:t xml:space="preserve">and ventilation business. The medical market is one of </w:t>
      </w:r>
      <w:r w:rsidR="008B3F51">
        <w:rPr>
          <w:lang w:eastAsia="de-DE"/>
        </w:rPr>
        <w:t xml:space="preserve">the </w:t>
      </w:r>
      <w:r>
        <w:rPr>
          <w:lang w:eastAsia="de-DE"/>
        </w:rPr>
        <w:t xml:space="preserve">most important strategic growth areas: with a wide range of new sensor solutions, </w:t>
      </w:r>
      <w:r w:rsidR="00FC07F8">
        <w:rPr>
          <w:lang w:eastAsia="de-DE"/>
        </w:rPr>
        <w:t>Sensirion</w:t>
      </w:r>
      <w:r>
        <w:rPr>
          <w:lang w:eastAsia="de-DE"/>
        </w:rPr>
        <w:t xml:space="preserve"> drive</w:t>
      </w:r>
      <w:r w:rsidR="00FC07F8">
        <w:rPr>
          <w:lang w:eastAsia="de-DE"/>
        </w:rPr>
        <w:t>s</w:t>
      </w:r>
      <w:r>
        <w:rPr>
          <w:lang w:eastAsia="de-DE"/>
        </w:rPr>
        <w:t xml:space="preserve"> innovation and unlock</w:t>
      </w:r>
      <w:r w:rsidR="00C51A53">
        <w:rPr>
          <w:lang w:eastAsia="de-DE"/>
        </w:rPr>
        <w:t>s</w:t>
      </w:r>
      <w:r>
        <w:rPr>
          <w:lang w:eastAsia="de-DE"/>
        </w:rPr>
        <w:t xml:space="preserve"> further potential in the areas of smart health monitoring, precise breath analysis and modern diagnostics. These growth opportunities will significantly accelerate </w:t>
      </w:r>
      <w:r w:rsidR="00F94D5D">
        <w:rPr>
          <w:lang w:eastAsia="de-DE"/>
        </w:rPr>
        <w:t>the</w:t>
      </w:r>
      <w:r>
        <w:rPr>
          <w:lang w:eastAsia="de-DE"/>
        </w:rPr>
        <w:t xml:space="preserve"> development in the coming years.</w:t>
      </w:r>
    </w:p>
    <w:p w14:paraId="2CFB351C" w14:textId="77777777" w:rsidR="000900AB" w:rsidRDefault="000900AB" w:rsidP="000900AB">
      <w:pPr>
        <w:rPr>
          <w:lang w:eastAsia="de-DE"/>
        </w:rPr>
      </w:pPr>
    </w:p>
    <w:p w14:paraId="3C31363C" w14:textId="39A85401" w:rsidR="000900AB" w:rsidRDefault="000900AB" w:rsidP="000900AB">
      <w:pPr>
        <w:rPr>
          <w:lang w:eastAsia="de-DE"/>
        </w:rPr>
      </w:pPr>
      <w:r>
        <w:rPr>
          <w:lang w:eastAsia="de-DE"/>
        </w:rPr>
        <w:lastRenderedPageBreak/>
        <w:t xml:space="preserve">The diversified industrial market achieved strong revenue growth of </w:t>
      </w:r>
      <w:r w:rsidR="0088098D">
        <w:rPr>
          <w:lang w:eastAsia="de-DE"/>
        </w:rPr>
        <w:t>47.9</w:t>
      </w:r>
      <w:r w:rsidR="0088098D">
        <w:t> </w:t>
      </w:r>
      <w:r w:rsidR="0088098D">
        <w:rPr>
          <w:lang w:eastAsia="de-DE"/>
        </w:rPr>
        <w:t>%</w:t>
      </w:r>
      <w:r>
        <w:rPr>
          <w:lang w:eastAsia="de-DE"/>
        </w:rPr>
        <w:t xml:space="preserve"> in local currencies and </w:t>
      </w:r>
      <w:r w:rsidR="007D72FA">
        <w:rPr>
          <w:lang w:eastAsia="de-DE"/>
        </w:rPr>
        <w:t>41.2</w:t>
      </w:r>
      <w:r w:rsidR="007D72FA">
        <w:t> </w:t>
      </w:r>
      <w:r w:rsidR="007D72FA">
        <w:rPr>
          <w:lang w:eastAsia="de-DE"/>
        </w:rPr>
        <w:t>%</w:t>
      </w:r>
      <w:r>
        <w:rPr>
          <w:lang w:eastAsia="de-DE"/>
        </w:rPr>
        <w:t xml:space="preserve"> in Swiss francs to CHF 193.9 million. This growth was primarily driven by the newly emerging and rapidly growing market for leakage sensors for refrigerants in air conditioning systems. Thanks to technological leadership and </w:t>
      </w:r>
      <w:r w:rsidR="001A31D8">
        <w:rPr>
          <w:lang w:eastAsia="de-DE"/>
        </w:rPr>
        <w:t xml:space="preserve">a </w:t>
      </w:r>
      <w:r>
        <w:rPr>
          <w:lang w:eastAsia="de-DE"/>
        </w:rPr>
        <w:t xml:space="preserve">deep understanding of applications, </w:t>
      </w:r>
      <w:r w:rsidR="00337CA6">
        <w:rPr>
          <w:lang w:eastAsia="de-DE"/>
        </w:rPr>
        <w:t xml:space="preserve">Sensirion has </w:t>
      </w:r>
      <w:r>
        <w:rPr>
          <w:lang w:eastAsia="de-DE"/>
        </w:rPr>
        <w:t xml:space="preserve">quickly established </w:t>
      </w:r>
      <w:r w:rsidR="00804553">
        <w:rPr>
          <w:lang w:eastAsia="de-DE"/>
        </w:rPr>
        <w:t>itself</w:t>
      </w:r>
      <w:r>
        <w:rPr>
          <w:lang w:eastAsia="de-DE"/>
        </w:rPr>
        <w:t xml:space="preserve"> as a leading provider and positioned </w:t>
      </w:r>
      <w:r w:rsidR="00804553">
        <w:rPr>
          <w:lang w:eastAsia="de-DE"/>
        </w:rPr>
        <w:t>itself</w:t>
      </w:r>
      <w:r>
        <w:rPr>
          <w:lang w:eastAsia="de-DE"/>
        </w:rPr>
        <w:t xml:space="preserve"> as a preferred partner for global </w:t>
      </w:r>
      <w:r w:rsidR="001A2AD8">
        <w:rPr>
          <w:lang w:eastAsia="de-DE"/>
        </w:rPr>
        <w:t>OEMs</w:t>
      </w:r>
      <w:r w:rsidR="001A2AD8" w:rsidRPr="00AE28FD">
        <w:rPr>
          <w:lang w:eastAsia="de-DE"/>
        </w:rPr>
        <w:t>—</w:t>
      </w:r>
      <w:r w:rsidR="001A2AD8">
        <w:rPr>
          <w:lang w:eastAsia="de-DE"/>
        </w:rPr>
        <w:t>a</w:t>
      </w:r>
      <w:r>
        <w:rPr>
          <w:lang w:eastAsia="de-DE"/>
        </w:rPr>
        <w:t xml:space="preserve"> strong basis for developing future leakage applications as the clear market leader</w:t>
      </w:r>
      <w:r w:rsidR="0078530F">
        <w:rPr>
          <w:lang w:eastAsia="de-DE"/>
        </w:rPr>
        <w:t>.</w:t>
      </w:r>
    </w:p>
    <w:p w14:paraId="46FA6514" w14:textId="2EB87273" w:rsidR="000900AB" w:rsidRPr="00246901" w:rsidRDefault="000900AB" w:rsidP="000900AB">
      <w:pPr>
        <w:rPr>
          <w:lang w:eastAsia="de-DE"/>
        </w:rPr>
      </w:pPr>
      <w:r>
        <w:rPr>
          <w:lang w:eastAsia="de-DE"/>
        </w:rPr>
        <w:t xml:space="preserve">Following a very strong first half driven by frontloading, </w:t>
      </w:r>
      <w:r w:rsidRPr="00A114C6">
        <w:rPr>
          <w:lang w:eastAsia="de-DE"/>
        </w:rPr>
        <w:t>the second half evolved as expected with customers optimizing inventories for A2L leakage sensors</w:t>
      </w:r>
      <w:r>
        <w:rPr>
          <w:lang w:eastAsia="de-DE"/>
        </w:rPr>
        <w:t xml:space="preserve">. After this normalization, </w:t>
      </w:r>
      <w:r w:rsidR="00804553">
        <w:rPr>
          <w:lang w:eastAsia="de-DE"/>
        </w:rPr>
        <w:t>Sensirion e</w:t>
      </w:r>
      <w:r w:rsidRPr="00E076FE">
        <w:rPr>
          <w:lang w:eastAsia="de-DE"/>
        </w:rPr>
        <w:t>xpect</w:t>
      </w:r>
      <w:r w:rsidR="001D6FA6">
        <w:rPr>
          <w:lang w:eastAsia="de-DE"/>
        </w:rPr>
        <w:t>s</w:t>
      </w:r>
      <w:r w:rsidRPr="00E076FE">
        <w:rPr>
          <w:lang w:eastAsia="de-DE"/>
        </w:rPr>
        <w:t xml:space="preserve"> the A2L market to return to </w:t>
      </w:r>
      <w:r>
        <w:rPr>
          <w:lang w:eastAsia="de-DE"/>
        </w:rPr>
        <w:t xml:space="preserve">slight </w:t>
      </w:r>
      <w:r w:rsidRPr="00E076FE">
        <w:rPr>
          <w:lang w:eastAsia="de-DE"/>
        </w:rPr>
        <w:t>growth</w:t>
      </w:r>
      <w:r>
        <w:rPr>
          <w:lang w:eastAsia="de-DE"/>
        </w:rPr>
        <w:t xml:space="preserve"> in the coming years. As the next stage in </w:t>
      </w:r>
      <w:r w:rsidR="00804553">
        <w:rPr>
          <w:lang w:eastAsia="de-DE"/>
        </w:rPr>
        <w:t xml:space="preserve">the </w:t>
      </w:r>
      <w:r>
        <w:rPr>
          <w:lang w:eastAsia="de-DE"/>
        </w:rPr>
        <w:t xml:space="preserve">development, </w:t>
      </w:r>
      <w:r w:rsidR="001701F3">
        <w:rPr>
          <w:lang w:eastAsia="de-DE"/>
        </w:rPr>
        <w:t xml:space="preserve">the company </w:t>
      </w:r>
      <w:r w:rsidR="00C73475">
        <w:rPr>
          <w:lang w:eastAsia="de-DE"/>
        </w:rPr>
        <w:t>sees</w:t>
      </w:r>
      <w:r>
        <w:rPr>
          <w:lang w:eastAsia="de-DE"/>
        </w:rPr>
        <w:t xml:space="preserve"> </w:t>
      </w:r>
      <w:r w:rsidR="00B66DC1">
        <w:rPr>
          <w:lang w:eastAsia="de-DE"/>
        </w:rPr>
        <w:t xml:space="preserve">additional </w:t>
      </w:r>
      <w:r>
        <w:rPr>
          <w:lang w:eastAsia="de-DE"/>
        </w:rPr>
        <w:t xml:space="preserve">substantial potential for A3 leakage sensors in Europe and Asia. Together with leading air conditioning manufacturers, </w:t>
      </w:r>
      <w:r w:rsidR="00851D48">
        <w:rPr>
          <w:lang w:eastAsia="de-DE"/>
        </w:rPr>
        <w:t>Sensirion</w:t>
      </w:r>
      <w:r w:rsidRPr="00246901">
        <w:rPr>
          <w:lang w:eastAsia="de-DE"/>
        </w:rPr>
        <w:t xml:space="preserve"> </w:t>
      </w:r>
      <w:r w:rsidR="00AE1F27">
        <w:rPr>
          <w:lang w:eastAsia="de-DE"/>
        </w:rPr>
        <w:t>is</w:t>
      </w:r>
      <w:r w:rsidRPr="00246901">
        <w:rPr>
          <w:lang w:eastAsia="de-DE"/>
        </w:rPr>
        <w:t xml:space="preserve"> advancing next</w:t>
      </w:r>
      <w:r w:rsidRPr="00246901">
        <w:rPr>
          <w:lang w:eastAsia="de-DE"/>
        </w:rPr>
        <w:noBreakHyphen/>
        <w:t xml:space="preserve">generation solutions that are now in pilot phases and approaching </w:t>
      </w:r>
      <w:r>
        <w:rPr>
          <w:lang w:eastAsia="de-DE"/>
        </w:rPr>
        <w:t>market launch soon</w:t>
      </w:r>
      <w:r w:rsidRPr="00246901">
        <w:rPr>
          <w:lang w:eastAsia="de-DE"/>
        </w:rPr>
        <w:t>.</w:t>
      </w:r>
    </w:p>
    <w:p w14:paraId="0F047C79" w14:textId="47EDB7F9" w:rsidR="000900AB" w:rsidRDefault="000900AB" w:rsidP="000900AB">
      <w:pPr>
        <w:rPr>
          <w:lang w:eastAsia="de-DE"/>
        </w:rPr>
      </w:pPr>
      <w:r>
        <w:rPr>
          <w:lang w:eastAsia="de-DE"/>
        </w:rPr>
        <w:t xml:space="preserve">In addition to leakage sensors, </w:t>
      </w:r>
      <w:r w:rsidR="00AE1F27">
        <w:rPr>
          <w:lang w:eastAsia="de-DE"/>
        </w:rPr>
        <w:t xml:space="preserve">the </w:t>
      </w:r>
      <w:r>
        <w:rPr>
          <w:lang w:eastAsia="de-DE"/>
        </w:rPr>
        <w:t xml:space="preserve">strategic growth </w:t>
      </w:r>
      <w:r w:rsidR="00B7562A">
        <w:rPr>
          <w:lang w:eastAsia="de-DE"/>
        </w:rPr>
        <w:t>areas</w:t>
      </w:r>
      <w:r w:rsidR="00B7562A" w:rsidRPr="00AE28FD">
        <w:rPr>
          <w:lang w:eastAsia="de-DE"/>
        </w:rPr>
        <w:t>—</w:t>
      </w:r>
      <w:r w:rsidR="00B7562A">
        <w:rPr>
          <w:lang w:eastAsia="de-DE"/>
        </w:rPr>
        <w:t>particularly</w:t>
      </w:r>
      <w:r>
        <w:rPr>
          <w:lang w:eastAsia="de-DE"/>
        </w:rPr>
        <w:t xml:space="preserve"> methane emissions monitoring and gas </w:t>
      </w:r>
      <w:r w:rsidR="003A779D">
        <w:rPr>
          <w:lang w:eastAsia="de-DE"/>
        </w:rPr>
        <w:t>chromatography</w:t>
      </w:r>
      <w:r w:rsidR="003A779D" w:rsidRPr="00AE28FD">
        <w:rPr>
          <w:lang w:eastAsia="de-DE"/>
        </w:rPr>
        <w:t>—</w:t>
      </w:r>
      <w:r w:rsidR="003A779D">
        <w:rPr>
          <w:lang w:eastAsia="de-DE"/>
        </w:rPr>
        <w:t>also</w:t>
      </w:r>
      <w:r>
        <w:rPr>
          <w:lang w:eastAsia="de-DE"/>
        </w:rPr>
        <w:t xml:space="preserve"> made a noticeable contribution to growth in the industrial segment in the reporting period.</w:t>
      </w:r>
    </w:p>
    <w:p w14:paraId="3A27D705" w14:textId="77777777" w:rsidR="000900AB" w:rsidRDefault="000900AB" w:rsidP="000900AB">
      <w:pPr>
        <w:rPr>
          <w:lang w:eastAsia="de-DE"/>
        </w:rPr>
      </w:pPr>
    </w:p>
    <w:p w14:paraId="2570A2F9" w14:textId="63095D7E" w:rsidR="000900AB" w:rsidRDefault="000900AB" w:rsidP="000900AB">
      <w:pPr>
        <w:rPr>
          <w:lang w:eastAsia="de-DE"/>
        </w:rPr>
      </w:pPr>
      <w:r>
        <w:rPr>
          <w:lang w:eastAsia="de-DE"/>
        </w:rPr>
        <w:t xml:space="preserve">The highly fragmented consumer market grew by </w:t>
      </w:r>
      <w:r w:rsidR="00AA1530">
        <w:rPr>
          <w:lang w:eastAsia="de-DE"/>
        </w:rPr>
        <w:t>49.7</w:t>
      </w:r>
      <w:r w:rsidR="00AA1530">
        <w:t> </w:t>
      </w:r>
      <w:r w:rsidR="00AA1530">
        <w:rPr>
          <w:lang w:eastAsia="de-DE"/>
        </w:rPr>
        <w:t>%</w:t>
      </w:r>
      <w:r>
        <w:rPr>
          <w:lang w:eastAsia="de-DE"/>
        </w:rPr>
        <w:t xml:space="preserve"> in local currencies (or </w:t>
      </w:r>
      <w:r w:rsidR="00C2632F">
        <w:rPr>
          <w:lang w:eastAsia="de-DE"/>
        </w:rPr>
        <w:t>46.1</w:t>
      </w:r>
      <w:r w:rsidR="00C2632F">
        <w:t> </w:t>
      </w:r>
      <w:r w:rsidR="00C2632F">
        <w:rPr>
          <w:lang w:eastAsia="de-DE"/>
        </w:rPr>
        <w:t>%</w:t>
      </w:r>
      <w:r>
        <w:rPr>
          <w:lang w:eastAsia="de-DE"/>
        </w:rPr>
        <w:t xml:space="preserve"> in Swiss francs) to CHF 20.5 million, driven </w:t>
      </w:r>
      <w:proofErr w:type="gramStart"/>
      <w:r>
        <w:rPr>
          <w:lang w:eastAsia="de-DE"/>
        </w:rPr>
        <w:t>in particular by</w:t>
      </w:r>
      <w:proofErr w:type="gramEnd"/>
      <w:r>
        <w:rPr>
          <w:lang w:eastAsia="de-DE"/>
        </w:rPr>
        <w:t xml:space="preserve"> </w:t>
      </w:r>
      <w:r w:rsidR="004A2578">
        <w:rPr>
          <w:lang w:eastAsia="de-DE"/>
        </w:rPr>
        <w:t xml:space="preserve">recovered </w:t>
      </w:r>
      <w:r>
        <w:rPr>
          <w:lang w:eastAsia="de-DE"/>
        </w:rPr>
        <w:t>demand in the distribution market.</w:t>
      </w:r>
    </w:p>
    <w:p w14:paraId="6D290139" w14:textId="77777777" w:rsidR="000900AB" w:rsidRDefault="000900AB" w:rsidP="000900AB">
      <w:pPr>
        <w:rPr>
          <w:lang w:eastAsia="de-DE"/>
        </w:rPr>
      </w:pPr>
    </w:p>
    <w:p w14:paraId="5920CE95" w14:textId="77777777" w:rsidR="000900AB" w:rsidRDefault="000900AB" w:rsidP="000900AB">
      <w:pPr>
        <w:pStyle w:val="SensirionSubtitle"/>
      </w:pPr>
      <w:r>
        <w:t>Growth strategy further refined with focused growth areas</w:t>
      </w:r>
    </w:p>
    <w:p w14:paraId="5AA2131A" w14:textId="0C0E26EA" w:rsidR="000900AB" w:rsidRDefault="000900AB" w:rsidP="000900AB">
      <w:pPr>
        <w:rPr>
          <w:lang w:eastAsia="de-DE"/>
        </w:rPr>
      </w:pPr>
      <w:r>
        <w:rPr>
          <w:lang w:eastAsia="de-DE"/>
        </w:rPr>
        <w:t xml:space="preserve">2025 was a year of global uncertainty—and yet </w:t>
      </w:r>
      <w:r w:rsidR="00093E46">
        <w:rPr>
          <w:lang w:eastAsia="de-DE"/>
        </w:rPr>
        <w:t xml:space="preserve">Sensirion </w:t>
      </w:r>
      <w:r>
        <w:rPr>
          <w:lang w:eastAsia="de-DE"/>
        </w:rPr>
        <w:t xml:space="preserve">successfully demonstrated what makes </w:t>
      </w:r>
      <w:r w:rsidR="00093E46">
        <w:rPr>
          <w:lang w:eastAsia="de-DE"/>
        </w:rPr>
        <w:t xml:space="preserve">the </w:t>
      </w:r>
      <w:r w:rsidR="00C517FA">
        <w:rPr>
          <w:lang w:eastAsia="de-DE"/>
        </w:rPr>
        <w:t>company</w:t>
      </w:r>
      <w:r>
        <w:rPr>
          <w:lang w:eastAsia="de-DE"/>
        </w:rPr>
        <w:t xml:space="preserve"> strong: </w:t>
      </w:r>
      <w:r w:rsidR="00780CE2">
        <w:rPr>
          <w:lang w:eastAsia="de-DE"/>
        </w:rPr>
        <w:t xml:space="preserve">its </w:t>
      </w:r>
      <w:r>
        <w:rPr>
          <w:lang w:eastAsia="de-DE"/>
        </w:rPr>
        <w:t xml:space="preserve">innovative strength, agility and clear strategic focus. This strength is also driving the implementation of </w:t>
      </w:r>
      <w:r w:rsidR="00C517FA">
        <w:rPr>
          <w:lang w:eastAsia="de-DE"/>
        </w:rPr>
        <w:t>the</w:t>
      </w:r>
      <w:r>
        <w:rPr>
          <w:lang w:eastAsia="de-DE"/>
        </w:rPr>
        <w:t xml:space="preserve"> growth strategy—and it underpins </w:t>
      </w:r>
      <w:r w:rsidR="00C517FA">
        <w:rPr>
          <w:lang w:eastAsia="de-DE"/>
        </w:rPr>
        <w:t>the</w:t>
      </w:r>
      <w:r>
        <w:rPr>
          <w:lang w:eastAsia="de-DE"/>
        </w:rPr>
        <w:t xml:space="preserve"> mission: “We make the difference in sensing for a better world.” </w:t>
      </w:r>
    </w:p>
    <w:p w14:paraId="16C3B8A5" w14:textId="77777777" w:rsidR="000900AB" w:rsidRDefault="000900AB" w:rsidP="000900AB">
      <w:pPr>
        <w:rPr>
          <w:lang w:eastAsia="de-DE"/>
        </w:rPr>
      </w:pPr>
    </w:p>
    <w:p w14:paraId="6D8F5081" w14:textId="7DA904C5" w:rsidR="000900AB" w:rsidRDefault="000900AB" w:rsidP="000900AB">
      <w:pPr>
        <w:rPr>
          <w:lang w:eastAsia="de-DE"/>
        </w:rPr>
      </w:pPr>
      <w:r>
        <w:rPr>
          <w:lang w:eastAsia="de-DE"/>
        </w:rPr>
        <w:t xml:space="preserve">As a global innovation leader in advanced sensor solutions, </w:t>
      </w:r>
      <w:r w:rsidR="00C517FA">
        <w:rPr>
          <w:lang w:eastAsia="de-DE"/>
        </w:rPr>
        <w:t>Sensirion has</w:t>
      </w:r>
      <w:r>
        <w:rPr>
          <w:lang w:eastAsia="de-DE"/>
        </w:rPr>
        <w:t xml:space="preserve"> full control over </w:t>
      </w:r>
      <w:r w:rsidR="00C517FA">
        <w:rPr>
          <w:lang w:eastAsia="de-DE"/>
        </w:rPr>
        <w:t>the</w:t>
      </w:r>
      <w:r>
        <w:rPr>
          <w:lang w:eastAsia="de-DE"/>
        </w:rPr>
        <w:t xml:space="preserve"> core technologies—from ASIC and MEMS expertise to sensor design and data analysis—and combine</w:t>
      </w:r>
      <w:r w:rsidR="00A00647">
        <w:rPr>
          <w:lang w:eastAsia="de-DE"/>
        </w:rPr>
        <w:t>s</w:t>
      </w:r>
      <w:r>
        <w:rPr>
          <w:lang w:eastAsia="de-DE"/>
        </w:rPr>
        <w:t xml:space="preserve"> this with deep application knowledge. It is precisely this unique combination of in-house technological expertise and application depth that sets </w:t>
      </w:r>
      <w:r w:rsidR="0073444C">
        <w:rPr>
          <w:lang w:eastAsia="de-DE"/>
        </w:rPr>
        <w:t>Sensirion</w:t>
      </w:r>
      <w:r>
        <w:rPr>
          <w:lang w:eastAsia="de-DE"/>
        </w:rPr>
        <w:t xml:space="preserve"> apart in the market and enables </w:t>
      </w:r>
      <w:r w:rsidR="0073444C">
        <w:rPr>
          <w:lang w:eastAsia="de-DE"/>
        </w:rPr>
        <w:t>it</w:t>
      </w:r>
      <w:r>
        <w:rPr>
          <w:lang w:eastAsia="de-DE"/>
        </w:rPr>
        <w:t xml:space="preserve"> to transform even the most demanding customer requirements into scalable, reliable solutions.</w:t>
      </w:r>
    </w:p>
    <w:p w14:paraId="2E105867" w14:textId="4496A475" w:rsidR="000900AB" w:rsidRDefault="000900AB" w:rsidP="000900AB">
      <w:pPr>
        <w:rPr>
          <w:lang w:eastAsia="de-DE"/>
        </w:rPr>
      </w:pPr>
      <w:r>
        <w:rPr>
          <w:lang w:eastAsia="de-DE"/>
        </w:rPr>
        <w:t xml:space="preserve">A key strategic focus lies in the area of “smart gas sensing”: building on </w:t>
      </w:r>
      <w:r w:rsidR="0073444C">
        <w:rPr>
          <w:lang w:eastAsia="de-DE"/>
        </w:rPr>
        <w:t>the</w:t>
      </w:r>
      <w:r>
        <w:rPr>
          <w:lang w:eastAsia="de-DE"/>
        </w:rPr>
        <w:t xml:space="preserve"> leading position for environment</w:t>
      </w:r>
      <w:r w:rsidR="005C783D">
        <w:rPr>
          <w:lang w:eastAsia="de-DE"/>
        </w:rPr>
        <w:t>al</w:t>
      </w:r>
      <w:r>
        <w:rPr>
          <w:lang w:eastAsia="de-DE"/>
        </w:rPr>
        <w:t xml:space="preserve"> and flow sensor technologies (focus 1: “</w:t>
      </w:r>
      <w:r w:rsidRPr="009A29E0">
        <w:rPr>
          <w:i/>
          <w:iCs/>
          <w:lang w:eastAsia="de-DE"/>
        </w:rPr>
        <w:t>Own the core in smart gas sensing</w:t>
      </w:r>
      <w:r>
        <w:rPr>
          <w:lang w:eastAsia="de-DE"/>
        </w:rPr>
        <w:t xml:space="preserve">”), </w:t>
      </w:r>
      <w:r w:rsidR="003F547A">
        <w:rPr>
          <w:lang w:eastAsia="de-DE"/>
        </w:rPr>
        <w:t>the high-tech company</w:t>
      </w:r>
      <w:r>
        <w:rPr>
          <w:lang w:eastAsia="de-DE"/>
        </w:rPr>
        <w:t xml:space="preserve"> want</w:t>
      </w:r>
      <w:r w:rsidR="0046643C">
        <w:rPr>
          <w:lang w:eastAsia="de-DE"/>
        </w:rPr>
        <w:t>s</w:t>
      </w:r>
      <w:r>
        <w:rPr>
          <w:lang w:eastAsia="de-DE"/>
        </w:rPr>
        <w:t xml:space="preserve"> to further expand </w:t>
      </w:r>
      <w:r w:rsidR="003F547A">
        <w:rPr>
          <w:lang w:eastAsia="de-DE"/>
        </w:rPr>
        <w:t>the</w:t>
      </w:r>
      <w:r>
        <w:rPr>
          <w:lang w:eastAsia="de-DE"/>
        </w:rPr>
        <w:t xml:space="preserve"> market in three strategic growth areas and position </w:t>
      </w:r>
      <w:r w:rsidR="003F547A">
        <w:rPr>
          <w:lang w:eastAsia="de-DE"/>
        </w:rPr>
        <w:t>itself</w:t>
      </w:r>
      <w:r>
        <w:rPr>
          <w:lang w:eastAsia="de-DE"/>
        </w:rPr>
        <w:t xml:space="preserve"> even more precisely as an integrated solutions provider (focus 2: “</w:t>
      </w:r>
      <w:r w:rsidRPr="009A29E0">
        <w:rPr>
          <w:i/>
          <w:iCs/>
          <w:lang w:eastAsia="de-DE"/>
        </w:rPr>
        <w:t>Expand horizons in smart gas sensing</w:t>
      </w:r>
      <w:r>
        <w:rPr>
          <w:lang w:eastAsia="de-DE"/>
        </w:rPr>
        <w:t>”):</w:t>
      </w:r>
    </w:p>
    <w:p w14:paraId="441C44DB" w14:textId="77777777" w:rsidR="000900AB" w:rsidRDefault="000900AB" w:rsidP="000900AB">
      <w:pPr>
        <w:pStyle w:val="BulletpointsLevel1"/>
        <w:rPr>
          <w:lang w:eastAsia="de-DE"/>
        </w:rPr>
      </w:pPr>
      <w:r>
        <w:rPr>
          <w:lang w:eastAsia="de-DE"/>
        </w:rPr>
        <w:tab/>
        <w:t>Leakage detection of critical gases to increase safety and regulatory compliance</w:t>
      </w:r>
    </w:p>
    <w:p w14:paraId="0B8A4C72" w14:textId="77777777" w:rsidR="000900AB" w:rsidRDefault="000900AB" w:rsidP="000900AB">
      <w:pPr>
        <w:pStyle w:val="BulletpointsLevel1"/>
        <w:rPr>
          <w:lang w:eastAsia="de-DE"/>
        </w:rPr>
      </w:pPr>
      <w:r>
        <w:rPr>
          <w:lang w:eastAsia="de-DE"/>
        </w:rPr>
        <w:tab/>
        <w:t>Advanced medical sensor solutions for health monitoring, breath analysis and diagnostics</w:t>
      </w:r>
    </w:p>
    <w:p w14:paraId="53A35E72" w14:textId="77777777" w:rsidR="000900AB" w:rsidRDefault="000900AB" w:rsidP="000900AB">
      <w:pPr>
        <w:pStyle w:val="BulletpointsLevel1"/>
        <w:rPr>
          <w:lang w:eastAsia="de-DE"/>
        </w:rPr>
      </w:pPr>
      <w:r>
        <w:rPr>
          <w:lang w:eastAsia="de-DE"/>
        </w:rPr>
        <w:t>Industrial gas analysis through sophisticated gas detection solutions</w:t>
      </w:r>
    </w:p>
    <w:p w14:paraId="3D6B1B9F" w14:textId="77777777" w:rsidR="000900AB" w:rsidRDefault="000900AB" w:rsidP="000900AB">
      <w:pPr>
        <w:rPr>
          <w:lang w:eastAsia="de-DE"/>
        </w:rPr>
      </w:pPr>
    </w:p>
    <w:p w14:paraId="510F854B" w14:textId="1E6FB8A6" w:rsidR="000900AB" w:rsidRDefault="000900AB" w:rsidP="000900AB">
      <w:pPr>
        <w:rPr>
          <w:lang w:eastAsia="de-DE"/>
        </w:rPr>
      </w:pPr>
      <w:r>
        <w:rPr>
          <w:lang w:eastAsia="de-DE"/>
        </w:rPr>
        <w:t>As part of strategic focus 1 (“</w:t>
      </w:r>
      <w:r w:rsidRPr="009A29E0">
        <w:rPr>
          <w:i/>
          <w:iCs/>
          <w:lang w:eastAsia="de-DE"/>
        </w:rPr>
        <w:t>Own the core in smart gas sensing</w:t>
      </w:r>
      <w:r>
        <w:rPr>
          <w:lang w:eastAsia="de-DE"/>
        </w:rPr>
        <w:t xml:space="preserve">”), </w:t>
      </w:r>
      <w:r w:rsidR="003F547A">
        <w:rPr>
          <w:lang w:eastAsia="de-DE"/>
        </w:rPr>
        <w:t>the</w:t>
      </w:r>
      <w:r>
        <w:rPr>
          <w:lang w:eastAsia="de-DE"/>
        </w:rPr>
        <w:t xml:space="preserve"> goal is not only to consolidate </w:t>
      </w:r>
      <w:r w:rsidR="003F547A">
        <w:rPr>
          <w:lang w:eastAsia="de-DE"/>
        </w:rPr>
        <w:t>the</w:t>
      </w:r>
      <w:r>
        <w:rPr>
          <w:lang w:eastAsia="de-DE"/>
        </w:rPr>
        <w:t xml:space="preserve"> strong position in the core market for environmental and flow solutions, but also to expand it through pioneering innovations. </w:t>
      </w:r>
      <w:r w:rsidR="003F547A">
        <w:rPr>
          <w:lang w:eastAsia="de-DE"/>
        </w:rPr>
        <w:t>The</w:t>
      </w:r>
      <w:r>
        <w:rPr>
          <w:lang w:eastAsia="de-DE"/>
        </w:rPr>
        <w:t xml:space="preserve"> milestone was the start of production for </w:t>
      </w:r>
      <w:r w:rsidR="003F547A">
        <w:rPr>
          <w:lang w:eastAsia="de-DE"/>
        </w:rPr>
        <w:t>the</w:t>
      </w:r>
      <w:r>
        <w:rPr>
          <w:lang w:eastAsia="de-DE"/>
        </w:rPr>
        <w:t xml:space="preserve"> new, chip-based CO₂ </w:t>
      </w:r>
      <w:r w:rsidR="007F45B9">
        <w:rPr>
          <w:lang w:eastAsia="de-DE"/>
        </w:rPr>
        <w:t>sensor</w:t>
      </w:r>
      <w:r w:rsidR="007F45B9" w:rsidRPr="00AE28FD">
        <w:rPr>
          <w:lang w:eastAsia="de-DE"/>
        </w:rPr>
        <w:t>—</w:t>
      </w:r>
      <w:r w:rsidR="007F45B9">
        <w:rPr>
          <w:lang w:eastAsia="de-DE"/>
        </w:rPr>
        <w:t>the</w:t>
      </w:r>
      <w:r>
        <w:rPr>
          <w:lang w:eastAsia="de-DE"/>
        </w:rPr>
        <w:t xml:space="preserve"> world’s smallest sensor for measuring carbon dioxide directly. It </w:t>
      </w:r>
      <w:proofErr w:type="gramStart"/>
      <w:r>
        <w:rPr>
          <w:lang w:eastAsia="de-DE"/>
        </w:rPr>
        <w:t>opens up</w:t>
      </w:r>
      <w:proofErr w:type="gramEnd"/>
      <w:r>
        <w:rPr>
          <w:lang w:eastAsia="de-DE"/>
        </w:rPr>
        <w:t xml:space="preserve"> completely new possibilities for indoor air monitoring that were previously not feasible due to size and cost constraints.</w:t>
      </w:r>
    </w:p>
    <w:p w14:paraId="5B79629D" w14:textId="5E97360A" w:rsidR="000900AB" w:rsidRDefault="00987A7D" w:rsidP="000900AB">
      <w:pPr>
        <w:rPr>
          <w:lang w:eastAsia="de-DE"/>
        </w:rPr>
      </w:pPr>
      <w:r>
        <w:rPr>
          <w:lang w:eastAsia="de-DE"/>
        </w:rPr>
        <w:t xml:space="preserve">Sensirion </w:t>
      </w:r>
      <w:r w:rsidR="000900AB">
        <w:rPr>
          <w:lang w:eastAsia="de-DE"/>
        </w:rPr>
        <w:t>ha</w:t>
      </w:r>
      <w:r>
        <w:rPr>
          <w:lang w:eastAsia="de-DE"/>
        </w:rPr>
        <w:t xml:space="preserve">s </w:t>
      </w:r>
      <w:r w:rsidR="000900AB">
        <w:rPr>
          <w:lang w:eastAsia="de-DE"/>
        </w:rPr>
        <w:t xml:space="preserve">also started producing a new generation of environmental sensor combo modules. These enable the complete detection of up to nine indoor air quality parameters and thereby provide a comprehensive solution for the precise monitoring of air quality. The high integration density is made possible by the consistent miniaturization of our sensor portfolio. </w:t>
      </w:r>
    </w:p>
    <w:p w14:paraId="5AC90F1A" w14:textId="77777777" w:rsidR="000900AB" w:rsidRDefault="000900AB" w:rsidP="000900AB">
      <w:pPr>
        <w:rPr>
          <w:lang w:eastAsia="de-DE"/>
        </w:rPr>
      </w:pPr>
    </w:p>
    <w:p w14:paraId="6E555220" w14:textId="3F0B6A82" w:rsidR="000900AB" w:rsidRDefault="000900AB" w:rsidP="000900AB">
      <w:pPr>
        <w:rPr>
          <w:lang w:eastAsia="de-DE"/>
        </w:rPr>
      </w:pPr>
      <w:r>
        <w:rPr>
          <w:lang w:eastAsia="de-DE"/>
        </w:rPr>
        <w:t>In the second strategic focus (“</w:t>
      </w:r>
      <w:r w:rsidRPr="00215B5D">
        <w:rPr>
          <w:i/>
          <w:iCs/>
          <w:lang w:eastAsia="de-DE"/>
        </w:rPr>
        <w:t>Expand horizons in smart gas sensing</w:t>
      </w:r>
      <w:r>
        <w:rPr>
          <w:lang w:eastAsia="de-DE"/>
        </w:rPr>
        <w:t xml:space="preserve">”), </w:t>
      </w:r>
      <w:r w:rsidR="00AC3F93">
        <w:rPr>
          <w:lang w:eastAsia="de-DE"/>
        </w:rPr>
        <w:t>Sensirion is</w:t>
      </w:r>
      <w:r>
        <w:rPr>
          <w:lang w:eastAsia="de-DE"/>
        </w:rPr>
        <w:t xml:space="preserve"> concentrating on the three high-potential growth areas mentioned above. In the area of leakage detection, </w:t>
      </w:r>
      <w:r w:rsidR="00D6257D">
        <w:rPr>
          <w:lang w:eastAsia="de-DE"/>
        </w:rPr>
        <w:t>Sensirion is</w:t>
      </w:r>
      <w:r>
        <w:rPr>
          <w:lang w:eastAsia="de-DE"/>
        </w:rPr>
        <w:t xml:space="preserve"> using existing sensor technology for a variety of new applications: in addition to the successful start of </w:t>
      </w:r>
      <w:r>
        <w:rPr>
          <w:lang w:eastAsia="de-DE"/>
        </w:rPr>
        <w:lastRenderedPageBreak/>
        <w:t>A2L leakage monitoring</w:t>
      </w:r>
      <w:r w:rsidR="00441686">
        <w:rPr>
          <w:lang w:eastAsia="de-DE"/>
        </w:rPr>
        <w:t xml:space="preserve"> in </w:t>
      </w:r>
      <w:r w:rsidR="00250C55">
        <w:rPr>
          <w:lang w:eastAsia="de-DE"/>
        </w:rPr>
        <w:t>US</w:t>
      </w:r>
      <w:r>
        <w:rPr>
          <w:lang w:eastAsia="de-DE"/>
        </w:rPr>
        <w:t xml:space="preserve">, </w:t>
      </w:r>
      <w:r w:rsidR="00D6257D">
        <w:rPr>
          <w:lang w:eastAsia="de-DE"/>
        </w:rPr>
        <w:t xml:space="preserve">the company is </w:t>
      </w:r>
      <w:r>
        <w:rPr>
          <w:lang w:eastAsia="de-DE"/>
        </w:rPr>
        <w:t>developing solutions for leading air conditioner manufacturers for the reliable detection of future A3 coolants</w:t>
      </w:r>
      <w:r w:rsidR="00441686">
        <w:rPr>
          <w:lang w:eastAsia="de-DE"/>
        </w:rPr>
        <w:t xml:space="preserve"> </w:t>
      </w:r>
      <w:r w:rsidR="00187780">
        <w:rPr>
          <w:lang w:eastAsia="de-DE"/>
        </w:rPr>
        <w:t xml:space="preserve">in </w:t>
      </w:r>
      <w:r w:rsidR="001C1C7E">
        <w:rPr>
          <w:lang w:eastAsia="de-DE"/>
        </w:rPr>
        <w:t>E</w:t>
      </w:r>
      <w:r w:rsidR="00BB4832">
        <w:rPr>
          <w:lang w:eastAsia="de-DE"/>
        </w:rPr>
        <w:t>urope and Asia</w:t>
      </w:r>
      <w:r>
        <w:rPr>
          <w:lang w:eastAsia="de-DE"/>
        </w:rPr>
        <w:t xml:space="preserve">. The first pilot products are about to be launched on the market, and more are set to follow, paving the way for the planned transition in Asia and Europe. </w:t>
      </w:r>
      <w:r w:rsidR="00D6257D">
        <w:rPr>
          <w:lang w:eastAsia="de-DE"/>
        </w:rPr>
        <w:t>Sensirion is</w:t>
      </w:r>
      <w:r>
        <w:rPr>
          <w:lang w:eastAsia="de-DE"/>
        </w:rPr>
        <w:t xml:space="preserve"> also expanding </w:t>
      </w:r>
      <w:r w:rsidR="00D6257D">
        <w:rPr>
          <w:lang w:eastAsia="de-DE"/>
        </w:rPr>
        <w:t>the</w:t>
      </w:r>
      <w:r>
        <w:rPr>
          <w:lang w:eastAsia="de-DE"/>
        </w:rPr>
        <w:t xml:space="preserve"> portfolio with gas detection solutions for battery monitoring in electric vehicles and for safety-critical applications such as carbon monoxide detection in gas burners in the USA.</w:t>
      </w:r>
    </w:p>
    <w:p w14:paraId="5A3C953A" w14:textId="58A514E6" w:rsidR="000900AB" w:rsidRDefault="000900AB" w:rsidP="000900AB">
      <w:pPr>
        <w:rPr>
          <w:lang w:eastAsia="de-DE"/>
        </w:rPr>
      </w:pPr>
      <w:r>
        <w:rPr>
          <w:lang w:eastAsia="de-DE"/>
        </w:rPr>
        <w:t xml:space="preserve">In the area of medical sensor solutions, </w:t>
      </w:r>
      <w:r w:rsidR="00D6257D">
        <w:rPr>
          <w:lang w:eastAsia="de-DE"/>
        </w:rPr>
        <w:t>Sensirion is</w:t>
      </w:r>
      <w:r>
        <w:rPr>
          <w:lang w:eastAsia="de-DE"/>
        </w:rPr>
        <w:t xml:space="preserve"> working with leading OEMs on a broad range of innovative smart gas sensing applications, ranging from advanced breath analysis to modern diagnostics. To this end, </w:t>
      </w:r>
      <w:r w:rsidR="00D6257D">
        <w:rPr>
          <w:lang w:eastAsia="de-DE"/>
        </w:rPr>
        <w:t>the company is</w:t>
      </w:r>
      <w:r>
        <w:rPr>
          <w:lang w:eastAsia="de-DE"/>
        </w:rPr>
        <w:t xml:space="preserve"> combining </w:t>
      </w:r>
      <w:r w:rsidR="00430629">
        <w:rPr>
          <w:lang w:eastAsia="de-DE"/>
        </w:rPr>
        <w:t>its</w:t>
      </w:r>
      <w:r w:rsidR="00D6257D">
        <w:rPr>
          <w:lang w:eastAsia="de-DE"/>
        </w:rPr>
        <w:t xml:space="preserve"> </w:t>
      </w:r>
      <w:r>
        <w:rPr>
          <w:lang w:eastAsia="de-DE"/>
        </w:rPr>
        <w:t xml:space="preserve">leading position in respiratory flow rate measurement with </w:t>
      </w:r>
      <w:r w:rsidR="003F620D">
        <w:rPr>
          <w:lang w:eastAsia="de-DE"/>
        </w:rPr>
        <w:t>expertise</w:t>
      </w:r>
      <w:r>
        <w:rPr>
          <w:lang w:eastAsia="de-DE"/>
        </w:rPr>
        <w:t xml:space="preserve"> in gas concentration measurement. This unique combination </w:t>
      </w:r>
      <w:proofErr w:type="gramStart"/>
      <w:r>
        <w:rPr>
          <w:lang w:eastAsia="de-DE"/>
        </w:rPr>
        <w:t>opens up</w:t>
      </w:r>
      <w:proofErr w:type="gramEnd"/>
      <w:r>
        <w:rPr>
          <w:lang w:eastAsia="de-DE"/>
        </w:rPr>
        <w:t xml:space="preserve"> new opportunities for innovative therapeutic and diagnostic applications—such as reliable monitoring during ventilation in emergency care.</w:t>
      </w:r>
    </w:p>
    <w:p w14:paraId="6135B8CC" w14:textId="227705A4" w:rsidR="000900AB" w:rsidRDefault="000900AB" w:rsidP="000900AB">
      <w:pPr>
        <w:rPr>
          <w:lang w:eastAsia="de-DE"/>
        </w:rPr>
      </w:pPr>
      <w:r>
        <w:rPr>
          <w:lang w:eastAsia="de-DE"/>
        </w:rPr>
        <w:t xml:space="preserve">In the area of industrial gas analysis, </w:t>
      </w:r>
      <w:r w:rsidR="0081060F">
        <w:rPr>
          <w:lang w:eastAsia="de-DE"/>
        </w:rPr>
        <w:t>Sensirion has</w:t>
      </w:r>
      <w:r>
        <w:rPr>
          <w:lang w:eastAsia="de-DE"/>
        </w:rPr>
        <w:t xml:space="preserve"> made significant progress at </w:t>
      </w:r>
      <w:r w:rsidR="0081060F">
        <w:rPr>
          <w:lang w:eastAsia="de-DE"/>
        </w:rPr>
        <w:t>the</w:t>
      </w:r>
      <w:r>
        <w:rPr>
          <w:lang w:eastAsia="de-DE"/>
        </w:rPr>
        <w:t xml:space="preserve"> subsidiary Q</w:t>
      </w:r>
      <w:r w:rsidR="0081060F">
        <w:rPr>
          <w:lang w:eastAsia="de-DE"/>
        </w:rPr>
        <w:t>m</w:t>
      </w:r>
      <w:r>
        <w:rPr>
          <w:lang w:eastAsia="de-DE"/>
        </w:rPr>
        <w:t xml:space="preserve">icro. Its high-quality gas chromatographs enable fast, continuous and precise online gas analysis of natural gas, biomethane, hydrogen and other renewable </w:t>
      </w:r>
      <w:r w:rsidR="00032A7C">
        <w:rPr>
          <w:lang w:eastAsia="de-DE"/>
        </w:rPr>
        <w:t>gases</w:t>
      </w:r>
      <w:r w:rsidR="00032A7C" w:rsidRPr="00AE28FD">
        <w:rPr>
          <w:lang w:eastAsia="de-DE"/>
        </w:rPr>
        <w:t>—</w:t>
      </w:r>
      <w:r w:rsidR="00032A7C">
        <w:rPr>
          <w:lang w:eastAsia="de-DE"/>
        </w:rPr>
        <w:t>based</w:t>
      </w:r>
      <w:r>
        <w:rPr>
          <w:lang w:eastAsia="de-DE"/>
        </w:rPr>
        <w:t xml:space="preserve"> on innovative </w:t>
      </w:r>
      <w:proofErr w:type="gramStart"/>
      <w:r>
        <w:rPr>
          <w:lang w:eastAsia="de-DE"/>
        </w:rPr>
        <w:t>micro GC</w:t>
      </w:r>
      <w:proofErr w:type="gramEnd"/>
      <w:r>
        <w:rPr>
          <w:lang w:eastAsia="de-DE"/>
        </w:rPr>
        <w:t xml:space="preserve"> chip technology. </w:t>
      </w:r>
    </w:p>
    <w:p w14:paraId="64FF4512" w14:textId="20C12091" w:rsidR="000900AB" w:rsidRPr="00AE28FD" w:rsidRDefault="000900AB" w:rsidP="000900AB">
      <w:pPr>
        <w:rPr>
          <w:lang w:eastAsia="de-DE"/>
        </w:rPr>
      </w:pPr>
      <w:r>
        <w:rPr>
          <w:lang w:eastAsia="de-DE"/>
        </w:rPr>
        <w:t xml:space="preserve">At the same time, </w:t>
      </w:r>
      <w:r w:rsidR="0081060F">
        <w:rPr>
          <w:lang w:eastAsia="de-DE"/>
        </w:rPr>
        <w:t>Sensirion</w:t>
      </w:r>
      <w:r>
        <w:rPr>
          <w:lang w:eastAsia="de-DE"/>
        </w:rPr>
        <w:t xml:space="preserve"> aim</w:t>
      </w:r>
      <w:r w:rsidR="0081060F">
        <w:rPr>
          <w:lang w:eastAsia="de-DE"/>
        </w:rPr>
        <w:t>s</w:t>
      </w:r>
      <w:r>
        <w:rPr>
          <w:lang w:eastAsia="de-DE"/>
        </w:rPr>
        <w:t xml:space="preserve"> to establish Sensirion Connected Solutions as a leading service provider for the continuous monitoring of methane emissions </w:t>
      </w:r>
      <w:r w:rsidRPr="00AE28FD">
        <w:rPr>
          <w:lang w:eastAsia="de-DE"/>
        </w:rPr>
        <w:t xml:space="preserve">in the oil and gas industry. To expand its portfolio, </w:t>
      </w:r>
      <w:r w:rsidR="0081060F">
        <w:rPr>
          <w:lang w:eastAsia="de-DE"/>
        </w:rPr>
        <w:t>Sensirion Connected Solutions</w:t>
      </w:r>
      <w:r w:rsidRPr="00AE28FD">
        <w:rPr>
          <w:lang w:eastAsia="de-DE"/>
        </w:rPr>
        <w:t xml:space="preserve"> acquired the company Kuva Systems (Cambridge, USA) in June. Kuva adds a highly advanced industrial IoT product specifically developed for upstream and midstream applications in the oil and gas sector. The technology features a cost-effective, proprietary infrared camera capable of visualizing and quantifying methane emissions down to the minute.</w:t>
      </w:r>
    </w:p>
    <w:p w14:paraId="3FE02D76" w14:textId="77777777" w:rsidR="007D27E1" w:rsidRDefault="007D27E1" w:rsidP="000900AB">
      <w:pPr>
        <w:rPr>
          <w:lang w:eastAsia="de-DE"/>
        </w:rPr>
      </w:pPr>
    </w:p>
    <w:p w14:paraId="3009B103" w14:textId="1D28C37C" w:rsidR="000900AB" w:rsidRDefault="0081060F" w:rsidP="000900AB">
      <w:pPr>
        <w:rPr>
          <w:lang w:eastAsia="de-DE"/>
        </w:rPr>
      </w:pPr>
      <w:r>
        <w:rPr>
          <w:lang w:eastAsia="de-DE"/>
        </w:rPr>
        <w:t>Sensirion</w:t>
      </w:r>
      <w:r w:rsidR="000900AB" w:rsidRPr="00AE28FD">
        <w:rPr>
          <w:lang w:eastAsia="de-DE"/>
        </w:rPr>
        <w:t xml:space="preserve"> look</w:t>
      </w:r>
      <w:r>
        <w:rPr>
          <w:lang w:eastAsia="de-DE"/>
        </w:rPr>
        <w:t>s</w:t>
      </w:r>
      <w:r w:rsidR="000900AB" w:rsidRPr="00AE28FD">
        <w:rPr>
          <w:lang w:eastAsia="de-DE"/>
        </w:rPr>
        <w:t xml:space="preserve"> forward to sharing deeper insights into </w:t>
      </w:r>
      <w:r>
        <w:rPr>
          <w:lang w:eastAsia="de-DE"/>
        </w:rPr>
        <w:t xml:space="preserve">its </w:t>
      </w:r>
      <w:r w:rsidR="000900AB" w:rsidRPr="00AE28FD">
        <w:rPr>
          <w:lang w:eastAsia="de-DE"/>
        </w:rPr>
        <w:t>growth areas at the Investor Day on April 14, 2026.</w:t>
      </w:r>
    </w:p>
    <w:p w14:paraId="7ED88206" w14:textId="77777777" w:rsidR="000900AB" w:rsidRDefault="000900AB" w:rsidP="000900AB">
      <w:pPr>
        <w:rPr>
          <w:lang w:eastAsia="de-DE"/>
        </w:rPr>
      </w:pPr>
    </w:p>
    <w:p w14:paraId="53011A63" w14:textId="74126A4C" w:rsidR="000900AB" w:rsidRDefault="000900AB" w:rsidP="000900AB">
      <w:pPr>
        <w:rPr>
          <w:lang w:eastAsia="de-DE"/>
        </w:rPr>
      </w:pPr>
      <w:r>
        <w:rPr>
          <w:lang w:eastAsia="de-DE"/>
        </w:rPr>
        <w:t xml:space="preserve">On the production side, </w:t>
      </w:r>
      <w:r w:rsidR="0081060F">
        <w:rPr>
          <w:lang w:eastAsia="de-DE"/>
        </w:rPr>
        <w:t xml:space="preserve">Sensirion is </w:t>
      </w:r>
      <w:r>
        <w:rPr>
          <w:lang w:eastAsia="de-DE"/>
        </w:rPr>
        <w:t xml:space="preserve">systematically strengthening </w:t>
      </w:r>
      <w:r w:rsidR="000F0928">
        <w:rPr>
          <w:lang w:eastAsia="de-DE"/>
        </w:rPr>
        <w:t>its</w:t>
      </w:r>
      <w:r>
        <w:rPr>
          <w:lang w:eastAsia="de-DE"/>
        </w:rPr>
        <w:t xml:space="preserve"> resilience—both in </w:t>
      </w:r>
      <w:r w:rsidR="0081060F">
        <w:rPr>
          <w:lang w:eastAsia="de-DE"/>
        </w:rPr>
        <w:t>the</w:t>
      </w:r>
      <w:r>
        <w:rPr>
          <w:lang w:eastAsia="de-DE"/>
        </w:rPr>
        <w:t xml:space="preserve"> supply chains and in the strategic orientation of </w:t>
      </w:r>
      <w:r w:rsidR="00CD1CF4">
        <w:rPr>
          <w:lang w:eastAsia="de-DE"/>
        </w:rPr>
        <w:t xml:space="preserve">its </w:t>
      </w:r>
      <w:r>
        <w:rPr>
          <w:lang w:eastAsia="de-DE"/>
        </w:rPr>
        <w:t xml:space="preserve">plants. While Switzerland is increasingly focusing on specialized, highly automated component production, </w:t>
      </w:r>
      <w:r w:rsidR="0081060F">
        <w:rPr>
          <w:lang w:eastAsia="de-DE"/>
        </w:rPr>
        <w:t xml:space="preserve">the </w:t>
      </w:r>
      <w:r>
        <w:rPr>
          <w:lang w:eastAsia="de-DE"/>
        </w:rPr>
        <w:t xml:space="preserve">factories in Hungary, China and South Korea, along with </w:t>
      </w:r>
      <w:r w:rsidR="00041C4C">
        <w:rPr>
          <w:lang w:eastAsia="de-DE"/>
        </w:rPr>
        <w:t xml:space="preserve">the </w:t>
      </w:r>
      <w:r>
        <w:rPr>
          <w:lang w:eastAsia="de-DE"/>
        </w:rPr>
        <w:t xml:space="preserve">partners in Mexico, ensure customer-oriented module production. </w:t>
      </w:r>
      <w:r w:rsidR="00EB1DE0">
        <w:rPr>
          <w:lang w:eastAsia="de-DE"/>
        </w:rPr>
        <w:t>Sensirion is</w:t>
      </w:r>
      <w:r>
        <w:rPr>
          <w:lang w:eastAsia="de-DE"/>
        </w:rPr>
        <w:t xml:space="preserve"> further strengthening this foundation with the construction of a second production building in </w:t>
      </w:r>
      <w:proofErr w:type="spellStart"/>
      <w:r>
        <w:rPr>
          <w:lang w:eastAsia="de-DE"/>
        </w:rPr>
        <w:t>Stäfa</w:t>
      </w:r>
      <w:proofErr w:type="spellEnd"/>
      <w:r>
        <w:rPr>
          <w:lang w:eastAsia="de-DE"/>
        </w:rPr>
        <w:t>. The centerpiece—an additional MEMS cleanroom—will be operational from 2028.</w:t>
      </w:r>
    </w:p>
    <w:p w14:paraId="6C5E2BB1" w14:textId="77777777" w:rsidR="000900AB" w:rsidRDefault="000900AB" w:rsidP="000900AB">
      <w:pPr>
        <w:rPr>
          <w:lang w:eastAsia="de-DE"/>
        </w:rPr>
      </w:pPr>
    </w:p>
    <w:p w14:paraId="73BF1C6F" w14:textId="77777777" w:rsidR="000900AB" w:rsidRDefault="000900AB" w:rsidP="000900AB">
      <w:pPr>
        <w:pStyle w:val="SensirionSubtitle"/>
      </w:pPr>
      <w:r>
        <w:t xml:space="preserve">Sustainability as a market opportunity and a responsibility </w:t>
      </w:r>
    </w:p>
    <w:p w14:paraId="3695EF35" w14:textId="160E9A79" w:rsidR="000900AB" w:rsidRDefault="000900AB" w:rsidP="000900AB">
      <w:pPr>
        <w:rPr>
          <w:lang w:eastAsia="de-DE"/>
        </w:rPr>
      </w:pPr>
      <w:r>
        <w:rPr>
          <w:lang w:eastAsia="de-DE"/>
        </w:rPr>
        <w:t xml:space="preserve">Energy efficiency and the reduction of greenhouse gases are among the key global megatrends shaping </w:t>
      </w:r>
      <w:proofErr w:type="spellStart"/>
      <w:r w:rsidR="00EB1DE0">
        <w:rPr>
          <w:lang w:eastAsia="de-DE"/>
        </w:rPr>
        <w:t>Sensirion’s</w:t>
      </w:r>
      <w:proofErr w:type="spellEnd"/>
      <w:r>
        <w:rPr>
          <w:lang w:eastAsia="de-DE"/>
        </w:rPr>
        <w:t xml:space="preserve"> markets and driving demand for sensor solutions.</w:t>
      </w:r>
      <w:r w:rsidR="00FB105F">
        <w:rPr>
          <w:lang w:eastAsia="de-DE"/>
        </w:rPr>
        <w:t xml:space="preserve"> </w:t>
      </w:r>
      <w:r>
        <w:rPr>
          <w:lang w:eastAsia="de-DE"/>
        </w:rPr>
        <w:t xml:space="preserve">At the same time, </w:t>
      </w:r>
      <w:r w:rsidR="00EB1DE0">
        <w:rPr>
          <w:lang w:eastAsia="de-DE"/>
        </w:rPr>
        <w:t>Sensirion is</w:t>
      </w:r>
      <w:r>
        <w:rPr>
          <w:lang w:eastAsia="de-DE"/>
        </w:rPr>
        <w:t xml:space="preserve"> taking responsibility for </w:t>
      </w:r>
      <w:r w:rsidR="00EB1DE0">
        <w:rPr>
          <w:lang w:eastAsia="de-DE"/>
        </w:rPr>
        <w:t>its</w:t>
      </w:r>
      <w:r>
        <w:rPr>
          <w:lang w:eastAsia="de-DE"/>
        </w:rPr>
        <w:t xml:space="preserve"> own environmental footprint and </w:t>
      </w:r>
      <w:r w:rsidR="00EB1DE0">
        <w:rPr>
          <w:lang w:eastAsia="de-DE"/>
        </w:rPr>
        <w:t xml:space="preserve">is </w:t>
      </w:r>
      <w:r>
        <w:rPr>
          <w:lang w:eastAsia="de-DE"/>
        </w:rPr>
        <w:t xml:space="preserve">consistently implementing the decarbonization roadmap </w:t>
      </w:r>
      <w:r w:rsidR="00EB1DE0">
        <w:rPr>
          <w:lang w:eastAsia="de-DE"/>
        </w:rPr>
        <w:t>the company</w:t>
      </w:r>
      <w:r>
        <w:rPr>
          <w:lang w:eastAsia="de-DE"/>
        </w:rPr>
        <w:t xml:space="preserve"> ha</w:t>
      </w:r>
      <w:r w:rsidR="00EB1DE0">
        <w:rPr>
          <w:lang w:eastAsia="de-DE"/>
        </w:rPr>
        <w:t>s</w:t>
      </w:r>
      <w:r>
        <w:rPr>
          <w:lang w:eastAsia="de-DE"/>
        </w:rPr>
        <w:t xml:space="preserve"> been pursuing since 2022.</w:t>
      </w:r>
    </w:p>
    <w:p w14:paraId="31068A3D" w14:textId="77777777" w:rsidR="000900AB" w:rsidRDefault="000900AB" w:rsidP="000900AB">
      <w:pPr>
        <w:rPr>
          <w:lang w:eastAsia="de-DE"/>
        </w:rPr>
      </w:pPr>
    </w:p>
    <w:p w14:paraId="1E32596D" w14:textId="77777777" w:rsidR="000900AB" w:rsidRDefault="000900AB" w:rsidP="000900AB">
      <w:pPr>
        <w:pStyle w:val="SensirionSubtitle"/>
      </w:pPr>
      <w:r>
        <w:t>Outlook</w:t>
      </w:r>
    </w:p>
    <w:p w14:paraId="50848547" w14:textId="3B71D018" w:rsidR="007016C1" w:rsidRDefault="007016C1" w:rsidP="007016C1">
      <w:pPr>
        <w:pBdr>
          <w:bottom w:val="single" w:sz="6" w:space="1" w:color="auto"/>
        </w:pBdr>
        <w:rPr>
          <w:lang w:eastAsia="de-DE"/>
        </w:rPr>
      </w:pPr>
      <w:r>
        <w:rPr>
          <w:lang w:eastAsia="de-DE"/>
        </w:rPr>
        <w:t xml:space="preserve">Sensirion expects the economic environment to remain challenging in 2026. Geopolitical uncertainties, global trade tensions and the continued strength of the </w:t>
      </w:r>
      <w:r w:rsidR="009F03B3">
        <w:rPr>
          <w:lang w:eastAsia="de-DE"/>
        </w:rPr>
        <w:t>Swiss franc will continue to weigh on</w:t>
      </w:r>
      <w:r>
        <w:rPr>
          <w:lang w:eastAsia="de-DE"/>
        </w:rPr>
        <w:t xml:space="preserve"> international sales markets. Despite these conditions, Sensirion remains confident: </w:t>
      </w:r>
      <w:r w:rsidR="00803794">
        <w:rPr>
          <w:lang w:eastAsia="de-DE"/>
        </w:rPr>
        <w:t xml:space="preserve">broad </w:t>
      </w:r>
      <w:r>
        <w:rPr>
          <w:lang w:eastAsia="de-DE"/>
        </w:rPr>
        <w:t xml:space="preserve">market and regional diversification underpin the resilience and support </w:t>
      </w:r>
      <w:r w:rsidR="00FD0054">
        <w:rPr>
          <w:lang w:eastAsia="de-DE"/>
        </w:rPr>
        <w:t>the</w:t>
      </w:r>
      <w:r>
        <w:rPr>
          <w:lang w:eastAsia="de-DE"/>
        </w:rPr>
        <w:t xml:space="preserve"> focus on scaling </w:t>
      </w:r>
      <w:r w:rsidR="00FD0054">
        <w:rPr>
          <w:lang w:eastAsia="de-DE"/>
        </w:rPr>
        <w:t xml:space="preserve">the </w:t>
      </w:r>
      <w:r>
        <w:rPr>
          <w:lang w:eastAsia="de-DE"/>
        </w:rPr>
        <w:t xml:space="preserve">key growth areas. The growth areas developed in recent years are gaining momentum and will contribute to </w:t>
      </w:r>
      <w:r w:rsidR="00CD7E6B">
        <w:rPr>
          <w:lang w:eastAsia="de-DE"/>
        </w:rPr>
        <w:t xml:space="preserve">revenue </w:t>
      </w:r>
      <w:r>
        <w:rPr>
          <w:lang w:eastAsia="de-DE"/>
        </w:rPr>
        <w:t xml:space="preserve">for the first time in 2026. While these initial contributions will still be limited, they open significant scaling potential for the years ahead. The A2L business is expected to deliver a broadly stable </w:t>
      </w:r>
      <w:r w:rsidR="0062405F">
        <w:rPr>
          <w:lang w:eastAsia="de-DE"/>
        </w:rPr>
        <w:t xml:space="preserve">revenue </w:t>
      </w:r>
      <w:r>
        <w:rPr>
          <w:lang w:eastAsia="de-DE"/>
        </w:rPr>
        <w:t xml:space="preserve">contribution in 2026, supported by reduced seasonality as the frontloading effects seen in 2025 have fully unwound. </w:t>
      </w:r>
    </w:p>
    <w:p w14:paraId="06F9C844" w14:textId="5A2F2127" w:rsidR="007016C1" w:rsidRDefault="007016C1" w:rsidP="007016C1">
      <w:pPr>
        <w:pBdr>
          <w:bottom w:val="single" w:sz="6" w:space="1" w:color="auto"/>
        </w:pBdr>
        <w:rPr>
          <w:lang w:eastAsia="de-DE"/>
        </w:rPr>
      </w:pPr>
      <w:r>
        <w:rPr>
          <w:lang w:eastAsia="de-DE"/>
        </w:rPr>
        <w:t xml:space="preserve">Currency effects will shape the </w:t>
      </w:r>
      <w:r w:rsidR="00DC5B7D">
        <w:rPr>
          <w:lang w:eastAsia="de-DE"/>
        </w:rPr>
        <w:t>year-on-year</w:t>
      </w:r>
      <w:r>
        <w:rPr>
          <w:lang w:eastAsia="de-DE"/>
        </w:rPr>
        <w:t xml:space="preserve"> comparison: </w:t>
      </w:r>
      <w:r w:rsidR="00F34899">
        <w:rPr>
          <w:lang w:eastAsia="de-DE"/>
        </w:rPr>
        <w:t xml:space="preserve">the </w:t>
      </w:r>
      <w:r>
        <w:rPr>
          <w:lang w:eastAsia="de-DE"/>
        </w:rPr>
        <w:t xml:space="preserve">sharp appreciation of the Swiss franc in 2025 results in a negative base effect for 2026. Adjusted for this currency development, </w:t>
      </w:r>
      <w:r w:rsidR="00DC5B7D">
        <w:rPr>
          <w:lang w:eastAsia="de-DE"/>
        </w:rPr>
        <w:t>Sensirion</w:t>
      </w:r>
      <w:r>
        <w:rPr>
          <w:lang w:eastAsia="de-DE"/>
        </w:rPr>
        <w:t xml:space="preserve"> expect</w:t>
      </w:r>
      <w:r w:rsidR="00DC5B7D">
        <w:rPr>
          <w:lang w:eastAsia="de-DE"/>
        </w:rPr>
        <w:t>s</w:t>
      </w:r>
      <w:r>
        <w:rPr>
          <w:lang w:eastAsia="de-DE"/>
        </w:rPr>
        <w:t xml:space="preserve"> </w:t>
      </w:r>
      <w:r w:rsidR="00E4379D">
        <w:rPr>
          <w:lang w:eastAsia="de-DE"/>
        </w:rPr>
        <w:t xml:space="preserve">revenue </w:t>
      </w:r>
      <w:r>
        <w:rPr>
          <w:lang w:eastAsia="de-DE"/>
        </w:rPr>
        <w:t xml:space="preserve">growth of 5 to 12 percent in constant currencies, corresponding to CHF 335–360 million at current exchange rates. Profitability is expected to remain at a similar level </w:t>
      </w:r>
      <w:r w:rsidR="0025271E">
        <w:rPr>
          <w:lang w:eastAsia="de-DE"/>
        </w:rPr>
        <w:t>to</w:t>
      </w:r>
      <w:r>
        <w:rPr>
          <w:lang w:eastAsia="de-DE"/>
        </w:rPr>
        <w:t xml:space="preserve"> 2025, with an </w:t>
      </w:r>
      <w:r>
        <w:rPr>
          <w:lang w:eastAsia="de-DE"/>
        </w:rPr>
        <w:lastRenderedPageBreak/>
        <w:t xml:space="preserve">EBITDA margin in the mid to high teens. This reflects both the still challenging macro environment and </w:t>
      </w:r>
      <w:r w:rsidR="00DC5B7D">
        <w:rPr>
          <w:lang w:eastAsia="de-DE"/>
        </w:rPr>
        <w:t>the</w:t>
      </w:r>
      <w:r>
        <w:rPr>
          <w:lang w:eastAsia="de-DE"/>
        </w:rPr>
        <w:t xml:space="preserve"> ongoing focus on efficiency, scaling and profitable growth.</w:t>
      </w:r>
    </w:p>
    <w:p w14:paraId="771F3718" w14:textId="20B30D0C" w:rsidR="00FC6575" w:rsidRDefault="007016C1" w:rsidP="007016C1">
      <w:pPr>
        <w:pBdr>
          <w:bottom w:val="single" w:sz="6" w:space="1" w:color="auto"/>
        </w:pBdr>
        <w:rPr>
          <w:lang w:eastAsia="de-DE"/>
        </w:rPr>
      </w:pPr>
      <w:r>
        <w:rPr>
          <w:lang w:eastAsia="de-DE"/>
        </w:rPr>
        <w:t xml:space="preserve">Based on the progress in </w:t>
      </w:r>
      <w:r w:rsidR="00D7037A">
        <w:rPr>
          <w:lang w:eastAsia="de-DE"/>
        </w:rPr>
        <w:t>the</w:t>
      </w:r>
      <w:r>
        <w:rPr>
          <w:lang w:eastAsia="de-DE"/>
        </w:rPr>
        <w:t xml:space="preserve"> strategic growth areas, </w:t>
      </w:r>
      <w:r w:rsidR="00D7037A">
        <w:rPr>
          <w:lang w:eastAsia="de-DE"/>
        </w:rPr>
        <w:t>Sensirion</w:t>
      </w:r>
      <w:r>
        <w:rPr>
          <w:lang w:eastAsia="de-DE"/>
        </w:rPr>
        <w:t xml:space="preserve"> confirm</w:t>
      </w:r>
      <w:r w:rsidR="00D7037A">
        <w:rPr>
          <w:lang w:eastAsia="de-DE"/>
        </w:rPr>
        <w:t>s</w:t>
      </w:r>
      <w:r>
        <w:rPr>
          <w:lang w:eastAsia="de-DE"/>
        </w:rPr>
        <w:t xml:space="preserve"> </w:t>
      </w:r>
      <w:r w:rsidR="00D7037A">
        <w:rPr>
          <w:lang w:eastAsia="de-DE"/>
        </w:rPr>
        <w:t>the</w:t>
      </w:r>
      <w:r>
        <w:rPr>
          <w:lang w:eastAsia="de-DE"/>
        </w:rPr>
        <w:t xml:space="preserve"> </w:t>
      </w:r>
      <w:r w:rsidR="00D7037A">
        <w:rPr>
          <w:lang w:eastAsia="de-DE"/>
        </w:rPr>
        <w:t>medium-term</w:t>
      </w:r>
      <w:r>
        <w:rPr>
          <w:lang w:eastAsia="de-DE"/>
        </w:rPr>
        <w:t xml:space="preserve"> guidance as presented at </w:t>
      </w:r>
      <w:r w:rsidR="00D7037A">
        <w:rPr>
          <w:lang w:eastAsia="de-DE"/>
        </w:rPr>
        <w:t>the</w:t>
      </w:r>
      <w:r>
        <w:rPr>
          <w:lang w:eastAsia="de-DE"/>
        </w:rPr>
        <w:t xml:space="preserve"> Capital Market Day in November 2024.</w:t>
      </w:r>
    </w:p>
    <w:p w14:paraId="46676E46" w14:textId="77777777" w:rsidR="00D7037A" w:rsidRDefault="00D7037A" w:rsidP="007016C1">
      <w:pPr>
        <w:pBdr>
          <w:bottom w:val="single" w:sz="6" w:space="1" w:color="auto"/>
        </w:pBdr>
        <w:rPr>
          <w:lang w:eastAsia="de-DE"/>
        </w:rPr>
      </w:pPr>
    </w:p>
    <w:p w14:paraId="38C501C6" w14:textId="10C5F338" w:rsidR="0024014E" w:rsidRPr="0024014E" w:rsidRDefault="0024014E" w:rsidP="0024014E">
      <w:pPr>
        <w:pBdr>
          <w:bottom w:val="single" w:sz="6" w:space="1" w:color="auto"/>
        </w:pBdr>
        <w:rPr>
          <w:rFonts w:asciiTheme="majorHAnsi" w:hAnsiTheme="majorHAnsi" w:cstheme="majorHAnsi"/>
          <w:lang w:eastAsia="de-DE"/>
        </w:rPr>
      </w:pPr>
      <w:r w:rsidRPr="0024014E">
        <w:rPr>
          <w:rFonts w:asciiTheme="majorHAnsi" w:hAnsiTheme="majorHAnsi" w:cstheme="majorHAnsi"/>
          <w:lang w:eastAsia="de-DE"/>
        </w:rPr>
        <w:t>Analyst and media conference on the results for the 202</w:t>
      </w:r>
      <w:r>
        <w:rPr>
          <w:rFonts w:asciiTheme="majorHAnsi" w:hAnsiTheme="majorHAnsi" w:cstheme="majorHAnsi"/>
          <w:lang w:eastAsia="de-DE"/>
        </w:rPr>
        <w:t>5</w:t>
      </w:r>
      <w:r w:rsidRPr="0024014E">
        <w:rPr>
          <w:rFonts w:asciiTheme="majorHAnsi" w:hAnsiTheme="majorHAnsi" w:cstheme="majorHAnsi"/>
          <w:lang w:eastAsia="de-DE"/>
        </w:rPr>
        <w:t xml:space="preserve"> financial year</w:t>
      </w:r>
    </w:p>
    <w:p w14:paraId="78E1E83D" w14:textId="7D28BE11" w:rsidR="0024014E" w:rsidRDefault="0024014E" w:rsidP="0024014E">
      <w:pPr>
        <w:pBdr>
          <w:bottom w:val="single" w:sz="6" w:space="1" w:color="auto"/>
        </w:pBdr>
        <w:rPr>
          <w:lang w:eastAsia="de-DE"/>
        </w:rPr>
      </w:pPr>
      <w:r>
        <w:rPr>
          <w:lang w:eastAsia="de-DE"/>
        </w:rPr>
        <w:t xml:space="preserve">An analyst and media conference on the results for the 2025 financial year will be held today, Tuesday, March 10, 2026, </w:t>
      </w:r>
      <w:r w:rsidR="00C93EED">
        <w:rPr>
          <w:lang w:eastAsia="de-DE"/>
        </w:rPr>
        <w:t xml:space="preserve">at </w:t>
      </w:r>
      <w:r>
        <w:rPr>
          <w:lang w:eastAsia="de-DE"/>
        </w:rPr>
        <w:t xml:space="preserve">9:00 am (UTC+1). The conference will take place at the Mandarin Oriental Savoy Zurich at </w:t>
      </w:r>
      <w:proofErr w:type="spellStart"/>
      <w:r>
        <w:rPr>
          <w:lang w:eastAsia="de-DE"/>
        </w:rPr>
        <w:t>Poststrasse</w:t>
      </w:r>
      <w:proofErr w:type="spellEnd"/>
      <w:r>
        <w:rPr>
          <w:lang w:eastAsia="de-DE"/>
        </w:rPr>
        <w:t xml:space="preserve"> 12 in Zurich and will also be broadcast as a conference call. The presentation will be in English. After the presentation, there will be an opportunity to ask questions.</w:t>
      </w:r>
    </w:p>
    <w:p w14:paraId="0D975344" w14:textId="77777777" w:rsidR="0024014E" w:rsidRDefault="0024014E" w:rsidP="0024014E">
      <w:pPr>
        <w:pBdr>
          <w:bottom w:val="single" w:sz="6" w:space="1" w:color="auto"/>
        </w:pBdr>
        <w:rPr>
          <w:lang w:eastAsia="de-DE"/>
        </w:rPr>
      </w:pPr>
    </w:p>
    <w:p w14:paraId="016208C9" w14:textId="77777777" w:rsidR="0024014E" w:rsidRDefault="0024014E" w:rsidP="0024014E">
      <w:pPr>
        <w:pBdr>
          <w:bottom w:val="single" w:sz="6" w:space="1" w:color="auto"/>
        </w:pBdr>
        <w:rPr>
          <w:lang w:eastAsia="de-DE"/>
        </w:rPr>
      </w:pPr>
      <w:r>
        <w:rPr>
          <w:lang w:eastAsia="de-DE"/>
        </w:rPr>
        <w:t xml:space="preserve">You can register for the conference call via the following link: </w:t>
      </w:r>
    </w:p>
    <w:p w14:paraId="42950D7E" w14:textId="321A0D34" w:rsidR="0024014E" w:rsidRDefault="008F2702" w:rsidP="0024014E">
      <w:pPr>
        <w:pBdr>
          <w:bottom w:val="single" w:sz="6" w:space="1" w:color="auto"/>
        </w:pBdr>
        <w:rPr>
          <w:lang w:eastAsia="de-DE"/>
        </w:rPr>
      </w:pPr>
      <w:hyperlink r:id="rId11" w:history="1">
        <w:r w:rsidRPr="00EE6643">
          <w:rPr>
            <w:rStyle w:val="Hyperlink"/>
            <w:lang w:eastAsia="de-DE"/>
          </w:rPr>
          <w:t>https://attendee.gotowebinar.com/register/6205132807479845206?source=pr</w:t>
        </w:r>
      </w:hyperlink>
      <w:r>
        <w:rPr>
          <w:lang w:eastAsia="de-DE"/>
        </w:rPr>
        <w:t xml:space="preserve"> </w:t>
      </w:r>
    </w:p>
    <w:p w14:paraId="2E3D418F" w14:textId="0F723E60" w:rsidR="0024014E" w:rsidRDefault="0024014E" w:rsidP="0024014E">
      <w:pPr>
        <w:pBdr>
          <w:bottom w:val="single" w:sz="6" w:space="1" w:color="auto"/>
        </w:pBdr>
        <w:rPr>
          <w:lang w:eastAsia="de-DE"/>
        </w:rPr>
      </w:pPr>
    </w:p>
    <w:p w14:paraId="7F08C803" w14:textId="77777777" w:rsidR="0024014E" w:rsidRPr="0024014E" w:rsidRDefault="0024014E" w:rsidP="0024014E">
      <w:pPr>
        <w:pBdr>
          <w:bottom w:val="single" w:sz="6" w:space="1" w:color="auto"/>
        </w:pBdr>
        <w:rPr>
          <w:rFonts w:asciiTheme="majorHAnsi" w:hAnsiTheme="majorHAnsi" w:cstheme="majorHAnsi"/>
          <w:lang w:eastAsia="de-DE"/>
        </w:rPr>
      </w:pPr>
      <w:r w:rsidRPr="0024014E">
        <w:rPr>
          <w:rFonts w:asciiTheme="majorHAnsi" w:hAnsiTheme="majorHAnsi" w:cstheme="majorHAnsi"/>
          <w:lang w:eastAsia="de-DE"/>
        </w:rPr>
        <w:t>Documentation</w:t>
      </w:r>
    </w:p>
    <w:p w14:paraId="0EEE1CB8" w14:textId="2CEE4C06" w:rsidR="0024014E" w:rsidRDefault="0024014E" w:rsidP="0024014E">
      <w:pPr>
        <w:pBdr>
          <w:bottom w:val="single" w:sz="6" w:space="1" w:color="auto"/>
        </w:pBdr>
        <w:rPr>
          <w:lang w:eastAsia="de-DE"/>
        </w:rPr>
      </w:pPr>
      <w:r>
        <w:rPr>
          <w:lang w:eastAsia="de-DE"/>
        </w:rPr>
        <w:t>All documents will be available on the Sensirion website from around 6:30 am (UTC+1) on March 10, 2026</w:t>
      </w:r>
      <w:r w:rsidR="00953D21">
        <w:rPr>
          <w:lang w:eastAsia="de-DE"/>
        </w:rPr>
        <w:t>,</w:t>
      </w:r>
      <w:r w:rsidR="0044154A">
        <w:rPr>
          <w:lang w:eastAsia="de-DE"/>
        </w:rPr>
        <w:t xml:space="preserve"> </w:t>
      </w:r>
      <w:r>
        <w:rPr>
          <w:lang w:eastAsia="de-DE"/>
        </w:rPr>
        <w:t xml:space="preserve">at: </w:t>
      </w:r>
      <w:hyperlink r:id="rId12" w:history="1">
        <w:r w:rsidRPr="00EE6643">
          <w:rPr>
            <w:rStyle w:val="Hyperlink"/>
            <w:lang w:eastAsia="de-DE"/>
          </w:rPr>
          <w:t>https://sensirion.com/company/investor-relations/results-reports</w:t>
        </w:r>
      </w:hyperlink>
      <w:r>
        <w:rPr>
          <w:lang w:eastAsia="de-DE"/>
        </w:rPr>
        <w:t xml:space="preserve"> </w:t>
      </w:r>
    </w:p>
    <w:p w14:paraId="442E23B3" w14:textId="136394B7" w:rsidR="0024014E" w:rsidRDefault="0024014E" w:rsidP="0024014E">
      <w:pPr>
        <w:pBdr>
          <w:bottom w:val="single" w:sz="6" w:space="1" w:color="auto"/>
        </w:pBdr>
        <w:rPr>
          <w:lang w:eastAsia="de-DE"/>
        </w:rPr>
      </w:pPr>
    </w:p>
    <w:p w14:paraId="391C6058" w14:textId="77777777" w:rsidR="0024014E" w:rsidRPr="0024014E" w:rsidRDefault="0024014E" w:rsidP="0024014E">
      <w:pPr>
        <w:pBdr>
          <w:bottom w:val="single" w:sz="6" w:space="1" w:color="auto"/>
        </w:pBdr>
        <w:rPr>
          <w:rFonts w:asciiTheme="majorHAnsi" w:hAnsiTheme="majorHAnsi" w:cstheme="majorHAnsi"/>
          <w:lang w:eastAsia="de-DE"/>
        </w:rPr>
      </w:pPr>
      <w:r w:rsidRPr="0024014E">
        <w:rPr>
          <w:rFonts w:asciiTheme="majorHAnsi" w:hAnsiTheme="majorHAnsi" w:cstheme="majorHAnsi"/>
          <w:lang w:eastAsia="de-DE"/>
        </w:rPr>
        <w:t>Financial calendar</w:t>
      </w:r>
    </w:p>
    <w:p w14:paraId="10A8F367" w14:textId="71A016CA" w:rsidR="0024014E" w:rsidRDefault="0024014E" w:rsidP="0024014E">
      <w:pPr>
        <w:pBdr>
          <w:bottom w:val="single" w:sz="6" w:space="1" w:color="auto"/>
        </w:pBdr>
        <w:rPr>
          <w:lang w:eastAsia="de-DE"/>
        </w:rPr>
      </w:pPr>
      <w:r>
        <w:rPr>
          <w:lang w:eastAsia="de-DE"/>
        </w:rPr>
        <w:t xml:space="preserve">March 10, 2026: </w:t>
      </w:r>
      <w:r w:rsidR="005F6FCC">
        <w:rPr>
          <w:lang w:eastAsia="de-DE"/>
        </w:rPr>
        <w:t>Publication of the 2025 full-year report</w:t>
      </w:r>
    </w:p>
    <w:p w14:paraId="498C0B86" w14:textId="526F90F6" w:rsidR="008B4EFC" w:rsidRPr="00E64F7C" w:rsidRDefault="008B4EFC" w:rsidP="0024014E">
      <w:pPr>
        <w:pBdr>
          <w:bottom w:val="single" w:sz="6" w:space="1" w:color="auto"/>
        </w:pBdr>
        <w:rPr>
          <w:lang w:eastAsia="de-DE"/>
        </w:rPr>
      </w:pPr>
      <w:r>
        <w:rPr>
          <w:lang w:eastAsia="de-DE"/>
        </w:rPr>
        <w:t xml:space="preserve">April 14, 2026: </w:t>
      </w:r>
      <w:r w:rsidR="00E64F7C" w:rsidRPr="00E64F7C">
        <w:rPr>
          <w:lang w:eastAsia="de-DE"/>
        </w:rPr>
        <w:t>Investor Update, Growth &amp; Market Insight</w:t>
      </w:r>
    </w:p>
    <w:p w14:paraId="3C8E6B51" w14:textId="6BFFA3D0" w:rsidR="0024014E" w:rsidRDefault="0024014E" w:rsidP="0024014E">
      <w:pPr>
        <w:pBdr>
          <w:bottom w:val="single" w:sz="6" w:space="1" w:color="auto"/>
        </w:pBdr>
        <w:rPr>
          <w:lang w:eastAsia="de-DE"/>
        </w:rPr>
      </w:pPr>
      <w:r>
        <w:rPr>
          <w:lang w:eastAsia="de-DE"/>
        </w:rPr>
        <w:t>May 1</w:t>
      </w:r>
      <w:r w:rsidR="00BB1E4F">
        <w:rPr>
          <w:lang w:eastAsia="de-DE"/>
        </w:rPr>
        <w:t>1</w:t>
      </w:r>
      <w:r>
        <w:rPr>
          <w:lang w:eastAsia="de-DE"/>
        </w:rPr>
        <w:t>, 2026: Annual General Meeting</w:t>
      </w:r>
    </w:p>
    <w:p w14:paraId="3EB7E568" w14:textId="2DF98CA4" w:rsidR="0024014E" w:rsidRDefault="0024014E" w:rsidP="0024014E">
      <w:pPr>
        <w:pBdr>
          <w:bottom w:val="single" w:sz="6" w:space="1" w:color="auto"/>
        </w:pBdr>
        <w:rPr>
          <w:lang w:eastAsia="de-DE"/>
        </w:rPr>
      </w:pPr>
      <w:r>
        <w:rPr>
          <w:lang w:eastAsia="de-DE"/>
        </w:rPr>
        <w:t xml:space="preserve">August </w:t>
      </w:r>
      <w:r w:rsidR="008B4EFC">
        <w:rPr>
          <w:lang w:eastAsia="de-DE"/>
        </w:rPr>
        <w:t>19</w:t>
      </w:r>
      <w:r>
        <w:rPr>
          <w:lang w:eastAsia="de-DE"/>
        </w:rPr>
        <w:t>, 2026: Publication of the 202</w:t>
      </w:r>
      <w:r w:rsidR="00BB1E4F">
        <w:rPr>
          <w:lang w:eastAsia="de-DE"/>
        </w:rPr>
        <w:t>6</w:t>
      </w:r>
      <w:r>
        <w:rPr>
          <w:lang w:eastAsia="de-DE"/>
        </w:rPr>
        <w:t xml:space="preserve"> half-year report</w:t>
      </w:r>
    </w:p>
    <w:p w14:paraId="0243E1AB" w14:textId="66DF10BD" w:rsidR="0024014E" w:rsidRDefault="0024014E" w:rsidP="0024014E">
      <w:pPr>
        <w:pBdr>
          <w:bottom w:val="single" w:sz="6" w:space="1" w:color="auto"/>
        </w:pBdr>
        <w:rPr>
          <w:lang w:eastAsia="de-DE"/>
        </w:rPr>
      </w:pPr>
    </w:p>
    <w:p w14:paraId="6E48B28B" w14:textId="3396B861" w:rsidR="0024014E" w:rsidRPr="008B4EFC" w:rsidRDefault="0024014E" w:rsidP="0024014E">
      <w:pPr>
        <w:pBdr>
          <w:bottom w:val="single" w:sz="6" w:space="1" w:color="auto"/>
        </w:pBdr>
        <w:rPr>
          <w:rFonts w:asciiTheme="majorHAnsi" w:hAnsiTheme="majorHAnsi" w:cstheme="majorHAnsi"/>
          <w:lang w:eastAsia="de-DE"/>
        </w:rPr>
      </w:pPr>
      <w:r w:rsidRPr="008B4EFC">
        <w:rPr>
          <w:rFonts w:asciiTheme="majorHAnsi" w:hAnsiTheme="majorHAnsi" w:cstheme="majorHAnsi"/>
          <w:lang w:eastAsia="de-DE"/>
        </w:rPr>
        <w:t>Contact:</w:t>
      </w:r>
    </w:p>
    <w:p w14:paraId="0AE8E282" w14:textId="77777777" w:rsidR="0024014E" w:rsidRDefault="0024014E" w:rsidP="0024014E">
      <w:pPr>
        <w:pBdr>
          <w:bottom w:val="single" w:sz="6" w:space="1" w:color="auto"/>
        </w:pBdr>
        <w:rPr>
          <w:lang w:eastAsia="de-DE"/>
        </w:rPr>
      </w:pPr>
      <w:r>
        <w:rPr>
          <w:lang w:eastAsia="de-DE"/>
        </w:rPr>
        <w:t xml:space="preserve">Lars </w:t>
      </w:r>
      <w:proofErr w:type="spellStart"/>
      <w:r>
        <w:rPr>
          <w:lang w:eastAsia="de-DE"/>
        </w:rPr>
        <w:t>Dünnhaupt</w:t>
      </w:r>
      <w:proofErr w:type="spellEnd"/>
      <w:r>
        <w:rPr>
          <w:lang w:eastAsia="de-DE"/>
        </w:rPr>
        <w:t xml:space="preserve">    </w:t>
      </w:r>
    </w:p>
    <w:p w14:paraId="23464E19" w14:textId="77777777" w:rsidR="0024014E" w:rsidRDefault="0024014E" w:rsidP="0024014E">
      <w:pPr>
        <w:pBdr>
          <w:bottom w:val="single" w:sz="6" w:space="1" w:color="auto"/>
        </w:pBdr>
        <w:rPr>
          <w:lang w:eastAsia="de-DE"/>
        </w:rPr>
      </w:pPr>
      <w:r>
        <w:rPr>
          <w:lang w:eastAsia="de-DE"/>
        </w:rPr>
        <w:t>Director Investor Relations</w:t>
      </w:r>
    </w:p>
    <w:p w14:paraId="5B2EE9C0" w14:textId="77777777" w:rsidR="0024014E" w:rsidRPr="00D5002E" w:rsidRDefault="0024014E" w:rsidP="0024014E">
      <w:pPr>
        <w:pBdr>
          <w:bottom w:val="single" w:sz="6" w:space="1" w:color="auto"/>
        </w:pBdr>
        <w:rPr>
          <w:lang w:eastAsia="de-DE"/>
        </w:rPr>
      </w:pPr>
      <w:r w:rsidRPr="00D5002E">
        <w:rPr>
          <w:lang w:eastAsia="de-DE"/>
        </w:rPr>
        <w:t xml:space="preserve">Phone: +41 44 306 40 00     </w:t>
      </w:r>
    </w:p>
    <w:p w14:paraId="1E0EA996" w14:textId="31CA4E55" w:rsidR="008E13F2" w:rsidRPr="00D5002E" w:rsidRDefault="0024014E" w:rsidP="0024014E">
      <w:pPr>
        <w:pBdr>
          <w:bottom w:val="single" w:sz="6" w:space="1" w:color="auto"/>
        </w:pBdr>
        <w:rPr>
          <w:lang w:eastAsia="de-DE"/>
        </w:rPr>
      </w:pPr>
      <w:r w:rsidRPr="00D5002E">
        <w:rPr>
          <w:lang w:eastAsia="de-DE"/>
        </w:rPr>
        <w:t>E-mail: lars.duennhaupt@sensirion.com</w:t>
      </w:r>
    </w:p>
    <w:p w14:paraId="5DBFCCFA" w14:textId="77777777" w:rsidR="00ED1987" w:rsidRPr="00D5002E" w:rsidRDefault="00ED1987" w:rsidP="005B1B49">
      <w:pPr>
        <w:pBdr>
          <w:bottom w:val="single" w:sz="6" w:space="1" w:color="auto"/>
        </w:pBdr>
        <w:rPr>
          <w:lang w:eastAsia="de-DE"/>
        </w:rPr>
      </w:pPr>
    </w:p>
    <w:p w14:paraId="1AC306BD" w14:textId="77777777" w:rsidR="00FE74BA" w:rsidRPr="00D5002E" w:rsidRDefault="00FE74BA" w:rsidP="005B1B49">
      <w:pPr>
        <w:pBdr>
          <w:bottom w:val="single" w:sz="6" w:space="1" w:color="auto"/>
        </w:pBdr>
        <w:rPr>
          <w:lang w:eastAsia="de-DE"/>
        </w:rPr>
      </w:pPr>
    </w:p>
    <w:p w14:paraId="2227707C" w14:textId="77777777" w:rsidR="005B1B49" w:rsidRPr="00D5002E" w:rsidRDefault="005B1B49" w:rsidP="005B1B49">
      <w:pPr>
        <w:rPr>
          <w:lang w:eastAsia="de-DE"/>
        </w:rPr>
      </w:pPr>
    </w:p>
    <w:p w14:paraId="5E12FA78" w14:textId="77777777" w:rsidR="00C36958" w:rsidRPr="00C36958" w:rsidRDefault="00C36958" w:rsidP="00C36958">
      <w:pPr>
        <w:rPr>
          <w:rFonts w:asciiTheme="majorHAnsi" w:hAnsiTheme="majorHAnsi"/>
          <w:lang w:eastAsia="de-DE"/>
        </w:rPr>
      </w:pPr>
      <w:r w:rsidRPr="00C36958">
        <w:rPr>
          <w:rFonts w:asciiTheme="majorHAnsi" w:hAnsiTheme="majorHAnsi"/>
          <w:lang w:eastAsia="de-DE"/>
        </w:rPr>
        <w:t>About Sensirion Holding AG</w:t>
      </w:r>
    </w:p>
    <w:p w14:paraId="191FBAFE" w14:textId="77777777" w:rsidR="00C36958" w:rsidRPr="00C36958" w:rsidRDefault="00C36958" w:rsidP="00C36958">
      <w:pPr>
        <w:rPr>
          <w:lang w:eastAsia="de-DE"/>
        </w:rPr>
      </w:pPr>
      <w:r w:rsidRPr="00C36958">
        <w:rPr>
          <w:lang w:eastAsia="de-DE"/>
        </w:rPr>
        <w:t xml:space="preserve">Sensirion Holding AG (SIX Swiss Exchange: SENS), headquartered in </w:t>
      </w:r>
      <w:proofErr w:type="spellStart"/>
      <w:r w:rsidRPr="00C36958">
        <w:rPr>
          <w:lang w:eastAsia="de-DE"/>
        </w:rPr>
        <w:t>Stäfa</w:t>
      </w:r>
      <w:proofErr w:type="spellEnd"/>
      <w:r w:rsidRPr="00C36958">
        <w:rPr>
          <w:lang w:eastAsia="de-DE"/>
        </w:rPr>
        <w:t xml:space="preserve">, Switzerland, is a leading manufacturer of digital microsensors and systems. The product range includes environmental sensors for the measurement of humidity and temperature, volatile organic compounds (VOC), carbon dioxide (CO2) and particulate matter (PM2.5), gas and liquid flow sensors, differential pressure sensors as well as gas leakage sensors. </w:t>
      </w:r>
    </w:p>
    <w:p w14:paraId="71555D3D" w14:textId="77777777" w:rsidR="00C36958" w:rsidRPr="00C36958" w:rsidRDefault="00C36958" w:rsidP="00C36958">
      <w:pPr>
        <w:rPr>
          <w:lang w:eastAsia="de-DE"/>
        </w:rPr>
      </w:pPr>
      <w:r w:rsidRPr="00C36958">
        <w:rPr>
          <w:lang w:eastAsia="de-DE"/>
        </w:rPr>
        <w:t xml:space="preserve">An international network with sales offices in China, Europe, Japan, South Korea, Taiwan and the USA </w:t>
      </w:r>
      <w:proofErr w:type="gramStart"/>
      <w:r w:rsidRPr="00C36958">
        <w:rPr>
          <w:lang w:eastAsia="de-DE"/>
        </w:rPr>
        <w:t>supplies</w:t>
      </w:r>
      <w:proofErr w:type="gramEnd"/>
      <w:r w:rsidRPr="00C36958">
        <w:rPr>
          <w:lang w:eastAsia="de-DE"/>
        </w:rPr>
        <w:t xml:space="preserve"> international customers with standard and custom sensor system solutions for a vast range of applications. Sensirion sensors can commonly be found in the automotive, medical, industrial and consumer end markets. For further information, visit </w:t>
      </w:r>
      <w:hyperlink r:id="rId13" w:history="1">
        <w:r w:rsidRPr="006B2015">
          <w:rPr>
            <w:rStyle w:val="Hyperlink"/>
            <w:lang w:eastAsia="de-DE"/>
          </w:rPr>
          <w:t>www.sensirion.com</w:t>
        </w:r>
      </w:hyperlink>
      <w:r w:rsidRPr="00C36958">
        <w:rPr>
          <w:lang w:eastAsia="de-DE"/>
        </w:rPr>
        <w:t>.</w:t>
      </w:r>
      <w:r>
        <w:rPr>
          <w:lang w:eastAsia="de-DE"/>
        </w:rPr>
        <w:t xml:space="preserve"> </w:t>
      </w:r>
    </w:p>
    <w:p w14:paraId="72E6EB7D" w14:textId="77777777" w:rsidR="00C36958" w:rsidRPr="00C36958" w:rsidRDefault="00C36958" w:rsidP="00C36958">
      <w:pPr>
        <w:rPr>
          <w:rFonts w:asciiTheme="majorHAnsi" w:hAnsiTheme="majorHAnsi"/>
          <w:lang w:eastAsia="de-DE"/>
        </w:rPr>
      </w:pPr>
    </w:p>
    <w:p w14:paraId="1FE4FDD8" w14:textId="77777777" w:rsidR="00C36958" w:rsidRPr="00C36958" w:rsidRDefault="00C36958" w:rsidP="00C36958">
      <w:pPr>
        <w:pStyle w:val="SensirionSubtitle"/>
      </w:pPr>
      <w:r w:rsidRPr="00C36958">
        <w:t>Disclaimer</w:t>
      </w:r>
    </w:p>
    <w:p w14:paraId="2EEAFC72" w14:textId="77777777" w:rsidR="00C36958" w:rsidRPr="00C36958" w:rsidRDefault="00C36958" w:rsidP="00C36958">
      <w:pPr>
        <w:rPr>
          <w:rFonts w:cstheme="minorHAnsi"/>
          <w:sz w:val="18"/>
          <w:szCs w:val="18"/>
          <w:lang w:eastAsia="de-DE"/>
        </w:rPr>
      </w:pPr>
      <w:r w:rsidRPr="00C36958">
        <w:rPr>
          <w:rFonts w:cstheme="minorHAnsi"/>
          <w:sz w:val="18"/>
          <w:szCs w:val="18"/>
          <w:lang w:eastAsia="de-DE"/>
        </w:rPr>
        <w:t xml:space="preserve">Certain statements in this document are forward-looking statements, including, but not limited to, those using words such as “believe”, “assume”, “expect” and other similar expressions. Such forward-looking statements are based on assumptions and expectations and, by their nature, involve known and unknown risks, uncertainties and other factors that could cause actual results, performance or achievements to differ materially from those expressed or implied by the forward-looking statements. Such factors include, but are not limited to, future global economic conditions, changing market conditions, competition from other companies, the effects and risks of new technologies, the costs of complying with applicable laws, regulations and standards, diverse political, legal, economic and other conditions affecting the markets in which Sensirion operates and other factors beyond the control of Sensirion. In view of these uncertainties, you should not place undue reliance on forward-looking </w:t>
      </w:r>
      <w:r w:rsidRPr="00C36958">
        <w:rPr>
          <w:rFonts w:cstheme="minorHAnsi"/>
          <w:sz w:val="18"/>
          <w:szCs w:val="18"/>
          <w:lang w:eastAsia="de-DE"/>
        </w:rPr>
        <w:lastRenderedPageBreak/>
        <w:t>statements. Sensirion disclaims any intention or obligation to update any forward-looking statements or to adapt them to future events or developments.</w:t>
      </w:r>
    </w:p>
    <w:p w14:paraId="07E36501" w14:textId="77777777" w:rsidR="00C36958" w:rsidRPr="00C36958" w:rsidRDefault="00C36958" w:rsidP="00C36958">
      <w:pPr>
        <w:rPr>
          <w:rFonts w:cstheme="minorHAnsi"/>
          <w:sz w:val="18"/>
          <w:szCs w:val="18"/>
          <w:lang w:eastAsia="de-DE"/>
        </w:rPr>
      </w:pPr>
    </w:p>
    <w:p w14:paraId="39A684B2" w14:textId="77777777" w:rsidR="00C36958" w:rsidRPr="00C36958" w:rsidRDefault="00C36958" w:rsidP="00C36958">
      <w:pPr>
        <w:rPr>
          <w:rFonts w:cstheme="minorHAnsi"/>
          <w:sz w:val="18"/>
          <w:szCs w:val="18"/>
          <w:lang w:eastAsia="de-DE"/>
        </w:rPr>
      </w:pPr>
      <w:r w:rsidRPr="00C36958">
        <w:rPr>
          <w:rFonts w:cstheme="minorHAnsi"/>
          <w:sz w:val="18"/>
          <w:szCs w:val="18"/>
          <w:lang w:eastAsia="de-DE"/>
        </w:rPr>
        <w:t xml:space="preserve">Sensirion uses certain key figures to measure its performance that are not defined by Swiss GAAP FER. These alternative performance measures may not be comparable to similarly titled measures presented by other companies. Additional information on these key figures can be found at </w:t>
      </w:r>
      <w:hyperlink r:id="rId14" w:history="1">
        <w:r w:rsidRPr="006B2015">
          <w:rPr>
            <w:rStyle w:val="Hyperlink"/>
            <w:rFonts w:cstheme="minorHAnsi"/>
            <w:sz w:val="18"/>
            <w:szCs w:val="18"/>
            <w:lang w:eastAsia="de-DE"/>
          </w:rPr>
          <w:t>www.sensirion.com/additional-performance-measures</w:t>
        </w:r>
      </w:hyperlink>
      <w:r w:rsidRPr="00C36958">
        <w:rPr>
          <w:rFonts w:cstheme="minorHAnsi"/>
          <w:sz w:val="18"/>
          <w:szCs w:val="18"/>
          <w:lang w:eastAsia="de-DE"/>
        </w:rPr>
        <w:t>.</w:t>
      </w:r>
      <w:r>
        <w:rPr>
          <w:rFonts w:cstheme="minorHAnsi"/>
          <w:sz w:val="18"/>
          <w:szCs w:val="18"/>
          <w:lang w:eastAsia="de-DE"/>
        </w:rPr>
        <w:t xml:space="preserve"> </w:t>
      </w:r>
    </w:p>
    <w:p w14:paraId="443D7662" w14:textId="77777777" w:rsidR="00C36958" w:rsidRPr="00C36958" w:rsidRDefault="00C36958" w:rsidP="00C36958">
      <w:pPr>
        <w:rPr>
          <w:rFonts w:cstheme="minorHAnsi"/>
          <w:sz w:val="18"/>
          <w:szCs w:val="18"/>
          <w:lang w:eastAsia="de-DE"/>
        </w:rPr>
      </w:pPr>
    </w:p>
    <w:p w14:paraId="04F35FA7" w14:textId="77777777" w:rsidR="005B1B49" w:rsidRPr="00C36958" w:rsidRDefault="00C36958" w:rsidP="00C36958">
      <w:pPr>
        <w:rPr>
          <w:rFonts w:cstheme="minorHAnsi"/>
          <w:sz w:val="18"/>
          <w:szCs w:val="18"/>
          <w:lang w:eastAsia="de-DE"/>
        </w:rPr>
      </w:pPr>
      <w:r w:rsidRPr="00C36958">
        <w:rPr>
          <w:rFonts w:cstheme="minorHAnsi"/>
          <w:sz w:val="18"/>
          <w:szCs w:val="18"/>
          <w:lang w:eastAsia="de-DE"/>
        </w:rPr>
        <w:t>This document is not an offer to sell, or a solicitation of offers to purchase, any securities.</w:t>
      </w:r>
    </w:p>
    <w:p w14:paraId="07A9392D" w14:textId="77777777" w:rsidR="00986756" w:rsidRPr="00936C4F" w:rsidRDefault="00986756" w:rsidP="00986756">
      <w:pPr>
        <w:rPr>
          <w:lang w:eastAsia="de-DE"/>
        </w:rPr>
      </w:pPr>
    </w:p>
    <w:sectPr w:rsidR="00986756" w:rsidRPr="00936C4F" w:rsidSect="00C5040D">
      <w:headerReference w:type="default" r:id="rId15"/>
      <w:footerReference w:type="default" r:id="rId16"/>
      <w:headerReference w:type="first" r:id="rId17"/>
      <w:footerReference w:type="first" r:id="rId18"/>
      <w:type w:val="continuous"/>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24926" w14:textId="77777777" w:rsidR="009E73B9" w:rsidRDefault="009E73B9" w:rsidP="0054380F">
      <w:pPr>
        <w:spacing w:line="240" w:lineRule="auto"/>
      </w:pPr>
      <w:r>
        <w:separator/>
      </w:r>
    </w:p>
  </w:endnote>
  <w:endnote w:type="continuationSeparator" w:id="0">
    <w:p w14:paraId="59BDE554" w14:textId="77777777" w:rsidR="009E73B9" w:rsidRDefault="009E73B9" w:rsidP="005438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Klavika Basic Regular">
    <w:altName w:val="Arial"/>
    <w:panose1 w:val="00000000000000000000"/>
    <w:charset w:val="00"/>
    <w:family w:val="swiss"/>
    <w:notTrueType/>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Fett">
    <w:panose1 w:val="00000000000000000000"/>
    <w:charset w:val="00"/>
    <w:family w:val="roman"/>
    <w:notTrueType/>
    <w:pitch w:val="default"/>
    <w:sig w:usb0="00000003" w:usb1="00000000" w:usb2="00000000" w:usb3="00000000" w:csb0="00000001" w:csb1="00000000"/>
  </w:font>
  <w:font w:name="ATP Univers">
    <w:charset w:val="00"/>
    <w:family w:val="swiss"/>
    <w:pitch w:val="variable"/>
    <w:sig w:usb0="800000AF" w:usb1="5000204A" w:usb2="00000000" w:usb3="00000000" w:csb0="0000009B" w:csb1="00000000"/>
  </w:font>
  <w:font w:name="SimHei">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BB788" w14:textId="77777777" w:rsidR="00D44150" w:rsidRPr="00372AC0" w:rsidRDefault="00D91EAB" w:rsidP="000B2869">
    <w:pPr>
      <w:pStyle w:val="Footer"/>
    </w:pPr>
    <w:r w:rsidRPr="00372AC0">
      <w:rPr>
        <w:noProof/>
      </w:rPr>
      <w:t>© Copyright Sensirion AG</w:t>
    </w:r>
    <w:r w:rsidRPr="00372AC0">
      <w:tab/>
    </w:r>
    <w:r w:rsidR="00B730FE" w:rsidRPr="00372AC0">
      <w:fldChar w:fldCharType="begin"/>
    </w:r>
    <w:r w:rsidRPr="00372AC0">
      <w:instrText xml:space="preserve"> PAGE </w:instrText>
    </w:r>
    <w:r w:rsidR="00B730FE" w:rsidRPr="00372AC0">
      <w:fldChar w:fldCharType="separate"/>
    </w:r>
    <w:r w:rsidR="00A5624A" w:rsidRPr="00372AC0">
      <w:t>1</w:t>
    </w:r>
    <w:r w:rsidR="00B730FE" w:rsidRPr="00372AC0">
      <w:fldChar w:fldCharType="end"/>
    </w:r>
    <w:r w:rsidRPr="00372AC0">
      <w:t>/</w:t>
    </w:r>
    <w:r w:rsidR="00B730FE" w:rsidRPr="00372AC0">
      <w:fldChar w:fldCharType="begin"/>
    </w:r>
    <w:r w:rsidRPr="00372AC0">
      <w:instrText xml:space="preserve"> NUMPAGES </w:instrText>
    </w:r>
    <w:r w:rsidR="00B730FE" w:rsidRPr="00372AC0">
      <w:fldChar w:fldCharType="separate"/>
    </w:r>
    <w:r w:rsidR="00A5624A" w:rsidRPr="00372AC0">
      <w:t>1</w:t>
    </w:r>
    <w:r w:rsidR="00B730FE" w:rsidRPr="00372AC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7007E" w14:textId="77777777" w:rsidR="00D44150" w:rsidRDefault="00D44150">
    <w:pPr>
      <w:pStyle w:val="Footer"/>
    </w:pPr>
    <w:r w:rsidRPr="00E94DCD">
      <w:tab/>
    </w:r>
    <w:r w:rsidRPr="00E94DCD">
      <w:tab/>
    </w:r>
    <w:proofErr w:type="spellStart"/>
    <w:r w:rsidRPr="00E94DCD">
      <w:t>Seite</w:t>
    </w:r>
    <w:proofErr w:type="spellEnd"/>
    <w:r w:rsidRPr="00E94DCD">
      <w:t xml:space="preserve"> </w:t>
    </w:r>
    <w:r w:rsidR="00B730FE">
      <w:fldChar w:fldCharType="begin"/>
    </w:r>
    <w:r w:rsidR="00935B8D">
      <w:instrText xml:space="preserve"> PAGE   \* MERGEFORMAT </w:instrText>
    </w:r>
    <w:r w:rsidR="00B730FE">
      <w:fldChar w:fldCharType="separate"/>
    </w:r>
    <w:r>
      <w:rPr>
        <w:noProof/>
      </w:rPr>
      <w:t>1</w:t>
    </w:r>
    <w:r w:rsidR="00B730FE">
      <w:rPr>
        <w:noProof/>
      </w:rPr>
      <w:fldChar w:fldCharType="end"/>
    </w:r>
    <w:r w:rsidRPr="00E94DCD">
      <w:t xml:space="preserve"> / </w:t>
    </w:r>
    <w:fldSimple w:instr="NUMPAGES   \* MERGEFORMAT">
      <w:r w:rsidR="001156D3">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15475" w14:textId="77777777" w:rsidR="009E73B9" w:rsidRDefault="009E73B9" w:rsidP="0054380F">
      <w:pPr>
        <w:spacing w:line="240" w:lineRule="auto"/>
      </w:pPr>
      <w:r>
        <w:separator/>
      </w:r>
    </w:p>
  </w:footnote>
  <w:footnote w:type="continuationSeparator" w:id="0">
    <w:p w14:paraId="2BD8326A" w14:textId="77777777" w:rsidR="009E73B9" w:rsidRDefault="009E73B9" w:rsidP="0054380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D53E3" w14:textId="77777777" w:rsidR="00D44150" w:rsidRDefault="00661641">
    <w:pPr>
      <w:pStyle w:val="Header"/>
    </w:pPr>
    <w:r>
      <w:rPr>
        <w:noProof/>
      </w:rPr>
      <w:drawing>
        <wp:anchor distT="0" distB="0" distL="0" distR="0" simplePos="0" relativeHeight="251658240" behindDoc="1" locked="1" layoutInCell="1" allowOverlap="1" wp14:anchorId="687DCEC7" wp14:editId="3D7284D4">
          <wp:simplePos x="0" y="0"/>
          <wp:positionH relativeFrom="page">
            <wp:posOffset>4716780</wp:posOffset>
          </wp:positionH>
          <wp:positionV relativeFrom="page">
            <wp:posOffset>414020</wp:posOffset>
          </wp:positionV>
          <wp:extent cx="1987200" cy="270000"/>
          <wp:effectExtent l="0" t="0" r="0" b="0"/>
          <wp:wrapNone/>
          <wp:docPr id="21136579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657945" name=""/>
                  <pic:cNvPicPr/>
                </pic:nvPicPr>
                <pic:blipFill>
                  <a:blip r:embed="rId1">
                    <a:extLst>
                      <a:ext uri="{28A0092B-C50C-407E-A947-70E740481C1C}">
                        <a14:useLocalDpi xmlns:a14="http://schemas.microsoft.com/office/drawing/2010/main" val="0"/>
                      </a:ext>
                    </a:extLst>
                  </a:blip>
                  <a:stretch>
                    <a:fillRect/>
                  </a:stretch>
                </pic:blipFill>
                <pic:spPr>
                  <a:xfrm>
                    <a:off x="0" y="0"/>
                    <a:ext cx="1987200" cy="27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54F06" w14:textId="77777777" w:rsidR="00D44150" w:rsidRDefault="00EE0CB5">
    <w:pPr>
      <w:pStyle w:val="Header"/>
    </w:pPr>
    <w:r>
      <w:rPr>
        <w:noProof/>
      </w:rPr>
      <w:drawing>
        <wp:anchor distT="0" distB="0" distL="114300" distR="114300" simplePos="0" relativeHeight="251658241" behindDoc="1" locked="0" layoutInCell="1" allowOverlap="1" wp14:anchorId="6D5E9F5D" wp14:editId="6214B7A2">
          <wp:simplePos x="0" y="0"/>
          <wp:positionH relativeFrom="column">
            <wp:posOffset>4528820</wp:posOffset>
          </wp:positionH>
          <wp:positionV relativeFrom="paragraph">
            <wp:posOffset>102235</wp:posOffset>
          </wp:positionV>
          <wp:extent cx="1438275" cy="247650"/>
          <wp:effectExtent l="0" t="0" r="0" b="0"/>
          <wp:wrapNone/>
          <wp:docPr id="1" name="Grafik 0" descr="Sensirion_green_cmyk_300dpi_4cm.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Sensirion_green_cmyk_300dpi_4cm.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2476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4FE6"/>
    <w:multiLevelType w:val="multilevel"/>
    <w:tmpl w:val="0E88ED38"/>
    <w:lvl w:ilvl="0">
      <w:start w:val="1"/>
      <w:numFmt w:val="bullet"/>
      <w:pStyle w:val="BulletpointsEbene1"/>
      <w:lvlText w:val=""/>
      <w:lvlJc w:val="left"/>
      <w:pPr>
        <w:ind w:left="454" w:hanging="454"/>
      </w:pPr>
      <w:rPr>
        <w:rFonts w:ascii="Symbol" w:hAnsi="Symbol" w:hint="default"/>
      </w:rPr>
    </w:lvl>
    <w:lvl w:ilvl="1">
      <w:start w:val="1"/>
      <w:numFmt w:val="bullet"/>
      <w:pStyle w:val="BulletpointsEbene2"/>
      <w:lvlText w:val=""/>
      <w:lvlJc w:val="left"/>
      <w:pPr>
        <w:tabs>
          <w:tab w:val="num" w:pos="907"/>
        </w:tabs>
        <w:ind w:left="907" w:hanging="453"/>
      </w:pPr>
      <w:rPr>
        <w:rFonts w:ascii="Symbol" w:hAnsi="Symbol" w:hint="default"/>
      </w:rPr>
    </w:lvl>
    <w:lvl w:ilvl="2">
      <w:start w:val="1"/>
      <w:numFmt w:val="bullet"/>
      <w:lvlText w:val=""/>
      <w:lvlJc w:val="left"/>
      <w:pPr>
        <w:tabs>
          <w:tab w:val="num" w:pos="1361"/>
        </w:tabs>
        <w:ind w:left="1361" w:hanging="454"/>
      </w:pPr>
      <w:rPr>
        <w:rFonts w:ascii="Symbol" w:hAnsi="Symbol" w:hint="default"/>
      </w:rPr>
    </w:lvl>
    <w:lvl w:ilvl="3">
      <w:start w:val="1"/>
      <w:numFmt w:val="lowerLetter"/>
      <w:lvlText w:val="%4)"/>
      <w:lvlJc w:val="left"/>
      <w:pPr>
        <w:ind w:left="454" w:hanging="454"/>
      </w:pPr>
      <w:rPr>
        <w:rFonts w:hint="default"/>
      </w:rPr>
    </w:lvl>
    <w:lvl w:ilvl="4">
      <w:start w:val="1"/>
      <w:numFmt w:val="bullet"/>
      <w:lvlText w:val=""/>
      <w:lvlJc w:val="left"/>
      <w:pPr>
        <w:tabs>
          <w:tab w:val="num" w:pos="907"/>
        </w:tabs>
        <w:ind w:left="907" w:hanging="453"/>
      </w:pPr>
      <w:rPr>
        <w:rFonts w:ascii="Wingdings" w:hAnsi="Wingdings" w:hint="default"/>
      </w:rPr>
    </w:lvl>
    <w:lvl w:ilvl="5">
      <w:start w:val="1"/>
      <w:numFmt w:val="ordinal"/>
      <w:lvlText w:val="%6"/>
      <w:lvlJc w:val="left"/>
      <w:pPr>
        <w:ind w:left="454" w:hanging="454"/>
      </w:pPr>
      <w:rPr>
        <w:rFonts w:hint="default"/>
      </w:rPr>
    </w:lvl>
    <w:lvl w:ilvl="6">
      <w:start w:val="1"/>
      <w:numFmt w:val="bullet"/>
      <w:lvlText w:val=""/>
      <w:lvlJc w:val="left"/>
      <w:pPr>
        <w:tabs>
          <w:tab w:val="num" w:pos="907"/>
        </w:tabs>
        <w:ind w:left="907" w:hanging="453"/>
      </w:pPr>
      <w:rPr>
        <w:rFonts w:ascii="Wingdings" w:hAnsi="Wingdings" w:hint="default"/>
      </w:rPr>
    </w:lvl>
    <w:lvl w:ilvl="7">
      <w:start w:val="1"/>
      <w:numFmt w:val="upperRoman"/>
      <w:lvlText w:val="%8."/>
      <w:lvlJc w:val="left"/>
      <w:pPr>
        <w:ind w:left="454" w:hanging="454"/>
      </w:pPr>
      <w:rPr>
        <w:rFonts w:hint="default"/>
      </w:rPr>
    </w:lvl>
    <w:lvl w:ilvl="8">
      <w:start w:val="1"/>
      <w:numFmt w:val="bullet"/>
      <w:lvlText w:val=""/>
      <w:lvlJc w:val="left"/>
      <w:pPr>
        <w:tabs>
          <w:tab w:val="num" w:pos="907"/>
        </w:tabs>
        <w:ind w:left="907" w:hanging="453"/>
      </w:pPr>
      <w:rPr>
        <w:rFonts w:ascii="Wingdings" w:hAnsi="Wingdings" w:hint="default"/>
      </w:rPr>
    </w:lvl>
  </w:abstractNum>
  <w:abstractNum w:abstractNumId="1" w15:restartNumberingAfterBreak="0">
    <w:nsid w:val="0C6D6BD3"/>
    <w:multiLevelType w:val="multilevel"/>
    <w:tmpl w:val="0AACE874"/>
    <w:numStyleLink w:val="SensirionList123Heading"/>
  </w:abstractNum>
  <w:abstractNum w:abstractNumId="2" w15:restartNumberingAfterBreak="0">
    <w:nsid w:val="21190147"/>
    <w:multiLevelType w:val="multilevel"/>
    <w:tmpl w:val="CCE27B6A"/>
    <w:styleLink w:val="SensirionList123Numbering"/>
    <w:lvl w:ilvl="0">
      <w:start w:val="1"/>
      <w:numFmt w:val="decimal"/>
      <w:pStyle w:val="Numb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3" w15:restartNumberingAfterBreak="0">
    <w:nsid w:val="26A12FB4"/>
    <w:multiLevelType w:val="multilevel"/>
    <w:tmpl w:val="33161A2E"/>
    <w:styleLink w:val="SensirionListealt"/>
    <w:lvl w:ilvl="0">
      <w:start w:val="1"/>
      <w:numFmt w:val="bullet"/>
      <w:lvlText w:val=""/>
      <w:lvlJc w:val="left"/>
      <w:pPr>
        <w:tabs>
          <w:tab w:val="num" w:pos="454"/>
        </w:tabs>
        <w:ind w:left="454" w:hanging="454"/>
      </w:pPr>
      <w:rPr>
        <w:rFonts w:ascii="Wingdings" w:hAnsi="Wingdings" w:hint="default"/>
      </w:rPr>
    </w:lvl>
    <w:lvl w:ilvl="1">
      <w:start w:val="1"/>
      <w:numFmt w:val="bullet"/>
      <w:lvlText w:val=""/>
      <w:lvlJc w:val="left"/>
      <w:pPr>
        <w:tabs>
          <w:tab w:val="num" w:pos="680"/>
        </w:tabs>
        <w:ind w:left="680" w:hanging="226"/>
      </w:pPr>
      <w:rPr>
        <w:rFonts w:ascii="Wingdings" w:hAnsi="Wingdings" w:hint="default"/>
      </w:rPr>
    </w:lvl>
    <w:lvl w:ilvl="2">
      <w:start w:val="1"/>
      <w:numFmt w:val="decimal"/>
      <w:lvlText w:val="%3."/>
      <w:lvlJc w:val="left"/>
      <w:pPr>
        <w:tabs>
          <w:tab w:val="num" w:pos="454"/>
        </w:tabs>
        <w:ind w:left="454" w:hanging="454"/>
      </w:pPr>
      <w:rPr>
        <w:rFonts w:hint="default"/>
      </w:rPr>
    </w:lvl>
    <w:lvl w:ilvl="3">
      <w:start w:val="1"/>
      <w:numFmt w:val="lowerLetter"/>
      <w:lvlText w:val="%4)"/>
      <w:lvlJc w:val="left"/>
      <w:pPr>
        <w:tabs>
          <w:tab w:val="num" w:pos="454"/>
        </w:tabs>
        <w:ind w:left="454" w:hanging="454"/>
      </w:pPr>
      <w:rPr>
        <w:rFonts w:hint="default"/>
      </w:rPr>
    </w:lvl>
    <w:lvl w:ilvl="4">
      <w:start w:val="1"/>
      <w:numFmt w:val="ordinal"/>
      <w:lvlText w:val="%5)"/>
      <w:lvlJc w:val="left"/>
      <w:pPr>
        <w:tabs>
          <w:tab w:val="num" w:pos="454"/>
        </w:tabs>
        <w:ind w:left="454" w:hanging="454"/>
      </w:pPr>
      <w:rPr>
        <w:rFonts w:hint="default"/>
      </w:rPr>
    </w:lvl>
    <w:lvl w:ilvl="5">
      <w:start w:val="1"/>
      <w:numFmt w:val="decimal"/>
      <w:lvlText w:val="%6."/>
      <w:lvlJc w:val="left"/>
      <w:pPr>
        <w:tabs>
          <w:tab w:val="num" w:pos="851"/>
        </w:tabs>
        <w:ind w:left="851" w:hanging="397"/>
      </w:pPr>
      <w:rPr>
        <w:rFonts w:hint="default"/>
      </w:rPr>
    </w:lvl>
    <w:lvl w:ilvl="6">
      <w:start w:val="1"/>
      <w:numFmt w:val="lowerLetter"/>
      <w:lvlText w:val="%7)"/>
      <w:lvlJc w:val="left"/>
      <w:pPr>
        <w:tabs>
          <w:tab w:val="num" w:pos="851"/>
        </w:tabs>
        <w:ind w:left="851" w:hanging="397"/>
      </w:pPr>
      <w:rPr>
        <w:rFonts w:hint="default"/>
      </w:rPr>
    </w:lvl>
    <w:lvl w:ilvl="7">
      <w:start w:val="1"/>
      <w:numFmt w:val="none"/>
      <w:lvlText w:val="%8"/>
      <w:lvlJc w:val="left"/>
      <w:pPr>
        <w:tabs>
          <w:tab w:val="num" w:pos="454"/>
        </w:tabs>
        <w:ind w:left="454" w:hanging="454"/>
      </w:pPr>
      <w:rPr>
        <w:rFonts w:hint="default"/>
      </w:rPr>
    </w:lvl>
    <w:lvl w:ilvl="8">
      <w:start w:val="1"/>
      <w:numFmt w:val="none"/>
      <w:lvlText w:val="%9"/>
      <w:lvlJc w:val="left"/>
      <w:pPr>
        <w:tabs>
          <w:tab w:val="num" w:pos="851"/>
        </w:tabs>
        <w:ind w:left="851" w:hanging="397"/>
      </w:pPr>
      <w:rPr>
        <w:rFonts w:hint="default"/>
      </w:rPr>
    </w:lvl>
  </w:abstractNum>
  <w:abstractNum w:abstractNumId="4" w15:restartNumberingAfterBreak="0">
    <w:nsid w:val="31FD6366"/>
    <w:multiLevelType w:val="multilevel"/>
    <w:tmpl w:val="0AACE874"/>
    <w:styleLink w:val="SensirionList123Heading"/>
    <w:lvl w:ilvl="0">
      <w:start w:val="1"/>
      <w:numFmt w:val="decimal"/>
      <w:pStyle w:val="Heading1"/>
      <w:lvlText w:val="%1"/>
      <w:lvlJc w:val="left"/>
      <w:pPr>
        <w:ind w:left="454" w:hanging="454"/>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680" w:hanging="680"/>
      </w:pPr>
      <w:rPr>
        <w:rFonts w:hint="default"/>
      </w:rPr>
    </w:lvl>
    <w:lvl w:ilvl="3">
      <w:start w:val="1"/>
      <w:numFmt w:val="decimal"/>
      <w:pStyle w:val="Heading4"/>
      <w:lvlText w:val="%1.%2.%3.%4"/>
      <w:lvlJc w:val="left"/>
      <w:pPr>
        <w:ind w:left="907" w:hanging="907"/>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3E394681"/>
    <w:multiLevelType w:val="multilevel"/>
    <w:tmpl w:val="0AACE874"/>
    <w:numStyleLink w:val="SensirionList123Heading"/>
  </w:abstractNum>
  <w:abstractNum w:abstractNumId="6" w15:restartNumberingAfterBreak="0">
    <w:nsid w:val="3FF729E4"/>
    <w:multiLevelType w:val="multilevel"/>
    <w:tmpl w:val="B05C3790"/>
    <w:lvl w:ilvl="0">
      <w:start w:val="1"/>
      <w:numFmt w:val="decimal"/>
      <w:lvlText w:val="%1"/>
      <w:lvlJc w:val="left"/>
      <w:pPr>
        <w:ind w:left="360" w:hanging="360"/>
      </w:pPr>
      <w:rPr>
        <w:rFonts w:ascii="Arial Narrow" w:hAnsi="Arial Narrow" w:hint="default"/>
        <w:b/>
        <w:i w:val="0"/>
        <w:color w:val="auto"/>
        <w:sz w:val="28"/>
        <w:szCs w:val="28"/>
        <w:u w:val="none"/>
      </w:rPr>
    </w:lvl>
    <w:lvl w:ilvl="1">
      <w:start w:val="1"/>
      <w:numFmt w:val="decimal"/>
      <w:lvlText w:val="%1.%2"/>
      <w:lvlJc w:val="left"/>
      <w:pPr>
        <w:tabs>
          <w:tab w:val="num" w:pos="-171"/>
        </w:tabs>
        <w:ind w:left="0" w:firstLine="0"/>
      </w:pPr>
      <w:rPr>
        <w:rFonts w:hint="default"/>
      </w:rPr>
    </w:lvl>
    <w:lvl w:ilvl="2">
      <w:start w:val="1"/>
      <w:numFmt w:val="decimal"/>
      <w:lvlText w:val="%1.%2.%3"/>
      <w:lvlJc w:val="left"/>
      <w:pPr>
        <w:tabs>
          <w:tab w:val="num" w:pos="-171"/>
        </w:tabs>
        <w:ind w:left="0" w:firstLine="0"/>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b w:val="0"/>
        <w:bCs/>
        <w:i w:val="0"/>
        <w:color w:val="auto"/>
        <w:sz w:val="22"/>
        <w:szCs w:val="22"/>
        <w:u w:val="none"/>
      </w:rPr>
    </w:lvl>
    <w:lvl w:ilvl="5">
      <w:start w:val="1"/>
      <w:numFmt w:val="decimal"/>
      <w:pStyle w:val="Heading6"/>
      <w:lvlText w:val="%1.%2.%3.%4.%5.%6"/>
      <w:lvlJc w:val="left"/>
      <w:pPr>
        <w:tabs>
          <w:tab w:val="num" w:pos="2236"/>
        </w:tabs>
        <w:ind w:left="2092" w:hanging="936"/>
      </w:pPr>
      <w:rPr>
        <w:rFonts w:hint="default"/>
      </w:rPr>
    </w:lvl>
    <w:lvl w:ilvl="6">
      <w:start w:val="1"/>
      <w:numFmt w:val="decimal"/>
      <w:pStyle w:val="Heading7"/>
      <w:lvlText w:val="%1.%2.%3.%4.%5.%6.%7"/>
      <w:lvlJc w:val="left"/>
      <w:pPr>
        <w:tabs>
          <w:tab w:val="num" w:pos="2956"/>
        </w:tabs>
        <w:ind w:left="2596" w:hanging="1080"/>
      </w:pPr>
      <w:rPr>
        <w:rFonts w:hint="default"/>
      </w:rPr>
    </w:lvl>
    <w:lvl w:ilvl="7">
      <w:start w:val="1"/>
      <w:numFmt w:val="decimal"/>
      <w:pStyle w:val="Heading8"/>
      <w:lvlText w:val="%1.%2.%3.%4.%5.%6.%7.%8"/>
      <w:lvlJc w:val="left"/>
      <w:pPr>
        <w:tabs>
          <w:tab w:val="num" w:pos="3316"/>
        </w:tabs>
        <w:ind w:left="3100" w:hanging="1224"/>
      </w:pPr>
      <w:rPr>
        <w:rFonts w:hint="default"/>
      </w:rPr>
    </w:lvl>
    <w:lvl w:ilvl="8">
      <w:start w:val="1"/>
      <w:numFmt w:val="decimal"/>
      <w:pStyle w:val="Heading9"/>
      <w:lvlText w:val="%1.%2.%3.%4.%5.%6.%7.%8.%9"/>
      <w:lvlJc w:val="left"/>
      <w:pPr>
        <w:tabs>
          <w:tab w:val="num" w:pos="4036"/>
        </w:tabs>
        <w:ind w:left="3676" w:hanging="1440"/>
      </w:pPr>
      <w:rPr>
        <w:rFonts w:hint="default"/>
      </w:rPr>
    </w:lvl>
  </w:abstractNum>
  <w:abstractNum w:abstractNumId="7" w15:restartNumberingAfterBreak="0">
    <w:nsid w:val="4B67712E"/>
    <w:multiLevelType w:val="multilevel"/>
    <w:tmpl w:val="0807001D"/>
    <w:lvl w:ilvl="0">
      <w:start w:val="1"/>
      <w:numFmt w:val="decimal"/>
      <w:lvlText w:val="%1)"/>
      <w:lvlJc w:val="left"/>
      <w:pPr>
        <w:ind w:left="360" w:hanging="360"/>
      </w:pPr>
      <w:rPr>
        <w:rFonts w:ascii="Klavika Basic Regular" w:hAnsi="Klavika Basic Regular"/>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abstractNum w:abstractNumId="8" w15:restartNumberingAfterBreak="0">
    <w:nsid w:val="4EAA10B1"/>
    <w:multiLevelType w:val="multilevel"/>
    <w:tmpl w:val="D00274A4"/>
    <w:styleLink w:val="SensirionListBulletPoints"/>
    <w:lvl w:ilvl="0">
      <w:start w:val="1"/>
      <w:numFmt w:val="bullet"/>
      <w:pStyle w:val="BulletpointsLevel1"/>
      <w:lvlText w:val=""/>
      <w:lvlJc w:val="left"/>
      <w:pPr>
        <w:ind w:left="227" w:hanging="227"/>
      </w:pPr>
      <w:rPr>
        <w:rFonts w:ascii="Symbol" w:hAnsi="Symbol" w:hint="default"/>
      </w:rPr>
    </w:lvl>
    <w:lvl w:ilvl="1">
      <w:start w:val="1"/>
      <w:numFmt w:val="bullet"/>
      <w:pStyle w:val="BulletpointsLevel2"/>
      <w:lvlText w:val=""/>
      <w:lvlJc w:val="left"/>
      <w:pPr>
        <w:ind w:left="454" w:hanging="227"/>
      </w:pPr>
      <w:rPr>
        <w:rFonts w:ascii="Symbol" w:hAnsi="Symbol" w:hint="default"/>
      </w:rPr>
    </w:lvl>
    <w:lvl w:ilvl="2">
      <w:start w:val="1"/>
      <w:numFmt w:val="none"/>
      <w:pStyle w:val="noBulletpoint"/>
      <w:lvlText w:val=""/>
      <w:lvlJc w:val="left"/>
      <w:pPr>
        <w:ind w:left="0" w:firstLine="0"/>
      </w:pPr>
      <w:rPr>
        <w:rFonts w:hint="default"/>
      </w:rPr>
    </w:lvl>
    <w:lvl w:ilvl="3">
      <w:start w:val="1"/>
      <w:numFmt w:val="bullet"/>
      <w:pStyle w:val="ListBullet"/>
      <w:lvlText w:val=""/>
      <w:lvlJc w:val="left"/>
      <w:pPr>
        <w:ind w:left="227" w:hanging="227"/>
      </w:pPr>
      <w:rPr>
        <w:rFonts w:ascii="Symbol" w:hAnsi="Symbol" w:hint="default"/>
      </w:rPr>
    </w:lvl>
    <w:lvl w:ilvl="4">
      <w:start w:val="1"/>
      <w:numFmt w:val="bullet"/>
      <w:pStyle w:val="ListBullet2"/>
      <w:lvlText w:val=""/>
      <w:lvlJc w:val="left"/>
      <w:pPr>
        <w:ind w:left="454" w:hanging="227"/>
      </w:pPr>
      <w:rPr>
        <w:rFonts w:ascii="Symbol" w:hAnsi="Symbol" w:hint="default"/>
      </w:rPr>
    </w:lvl>
    <w:lvl w:ilvl="5">
      <w:start w:val="1"/>
      <w:numFmt w:val="bullet"/>
      <w:pStyle w:val="ListBullet3"/>
      <w:lvlText w:val=""/>
      <w:lvlJc w:val="left"/>
      <w:pPr>
        <w:ind w:left="680" w:hanging="226"/>
      </w:pPr>
      <w:rPr>
        <w:rFonts w:ascii="Symbol" w:hAnsi="Symbol" w:hint="default"/>
      </w:rPr>
    </w:lvl>
    <w:lvl w:ilvl="6">
      <w:start w:val="1"/>
      <w:numFmt w:val="bullet"/>
      <w:pStyle w:val="ListBullet4"/>
      <w:lvlText w:val=""/>
      <w:lvlJc w:val="left"/>
      <w:pPr>
        <w:ind w:left="907" w:hanging="227"/>
      </w:pPr>
      <w:rPr>
        <w:rFonts w:ascii="Symbol" w:hAnsi="Symbol" w:hint="default"/>
      </w:rPr>
    </w:lvl>
    <w:lvl w:ilvl="7">
      <w:start w:val="1"/>
      <w:numFmt w:val="bullet"/>
      <w:pStyle w:val="ListBullet5"/>
      <w:lvlText w:val=""/>
      <w:lvlJc w:val="left"/>
      <w:pPr>
        <w:ind w:left="1134" w:hanging="227"/>
      </w:pPr>
      <w:rPr>
        <w:rFonts w:ascii="Symbol" w:hAnsi="Symbol" w:hint="default"/>
      </w:rPr>
    </w:lvl>
    <w:lvl w:ilvl="8">
      <w:start w:val="1"/>
      <w:numFmt w:val="bullet"/>
      <w:lvlText w:val=""/>
      <w:lvlJc w:val="left"/>
      <w:pPr>
        <w:ind w:left="1361" w:hanging="227"/>
      </w:pPr>
      <w:rPr>
        <w:rFonts w:ascii="Symbol" w:hAnsi="Symbol" w:hint="default"/>
      </w:rPr>
    </w:lvl>
  </w:abstractNum>
  <w:abstractNum w:abstractNumId="9" w15:restartNumberingAfterBreak="0">
    <w:nsid w:val="6B1D7B0A"/>
    <w:multiLevelType w:val="multilevel"/>
    <w:tmpl w:val="E838465A"/>
    <w:styleLink w:val="SensirionListabcLettering"/>
    <w:lvl w:ilvl="0">
      <w:start w:val="1"/>
      <w:numFmt w:val="lowerLetter"/>
      <w:pStyle w:val="Lett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num w:numId="1" w16cid:durableId="100341035">
    <w:abstractNumId w:val="0"/>
  </w:num>
  <w:num w:numId="2" w16cid:durableId="1465200474">
    <w:abstractNumId w:val="7"/>
  </w:num>
  <w:num w:numId="3" w16cid:durableId="1578400284">
    <w:abstractNumId w:val="3"/>
  </w:num>
  <w:num w:numId="4" w16cid:durableId="1091857931">
    <w:abstractNumId w:val="6"/>
  </w:num>
  <w:num w:numId="5" w16cid:durableId="996156133">
    <w:abstractNumId w:val="8"/>
  </w:num>
  <w:num w:numId="6" w16cid:durableId="15458258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0872374">
    <w:abstractNumId w:val="4"/>
  </w:num>
  <w:num w:numId="8" w16cid:durableId="1556505634">
    <w:abstractNumId w:val="5"/>
  </w:num>
  <w:num w:numId="9" w16cid:durableId="425276189">
    <w:abstractNumId w:val="1"/>
  </w:num>
  <w:num w:numId="10" w16cid:durableId="1797064802">
    <w:abstractNumId w:val="2"/>
  </w:num>
  <w:num w:numId="11" w16cid:durableId="94118712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489"/>
    <w:rsid w:val="0000080F"/>
    <w:rsid w:val="000074D2"/>
    <w:rsid w:val="000111C6"/>
    <w:rsid w:val="00013E4A"/>
    <w:rsid w:val="000224AD"/>
    <w:rsid w:val="0002682B"/>
    <w:rsid w:val="000314C4"/>
    <w:rsid w:val="00032A7C"/>
    <w:rsid w:val="00037AAC"/>
    <w:rsid w:val="000406CD"/>
    <w:rsid w:val="00041C4C"/>
    <w:rsid w:val="0005290B"/>
    <w:rsid w:val="00054FD3"/>
    <w:rsid w:val="00064D1B"/>
    <w:rsid w:val="000700BD"/>
    <w:rsid w:val="000718AC"/>
    <w:rsid w:val="000900AB"/>
    <w:rsid w:val="000903CE"/>
    <w:rsid w:val="00092EE0"/>
    <w:rsid w:val="00093E46"/>
    <w:rsid w:val="00096D1E"/>
    <w:rsid w:val="000971F5"/>
    <w:rsid w:val="000A3162"/>
    <w:rsid w:val="000B2869"/>
    <w:rsid w:val="000D523B"/>
    <w:rsid w:val="000D7F02"/>
    <w:rsid w:val="000F0928"/>
    <w:rsid w:val="000F24EC"/>
    <w:rsid w:val="000F4CED"/>
    <w:rsid w:val="00102207"/>
    <w:rsid w:val="00112447"/>
    <w:rsid w:val="00114D80"/>
    <w:rsid w:val="001156D3"/>
    <w:rsid w:val="00124408"/>
    <w:rsid w:val="00124F40"/>
    <w:rsid w:val="00137769"/>
    <w:rsid w:val="0015102C"/>
    <w:rsid w:val="00151C8E"/>
    <w:rsid w:val="00152DC2"/>
    <w:rsid w:val="00162C84"/>
    <w:rsid w:val="001665A6"/>
    <w:rsid w:val="001701F3"/>
    <w:rsid w:val="00187780"/>
    <w:rsid w:val="001936DD"/>
    <w:rsid w:val="001A2AD8"/>
    <w:rsid w:val="001A31D8"/>
    <w:rsid w:val="001B29A6"/>
    <w:rsid w:val="001C1C7E"/>
    <w:rsid w:val="001C7DF4"/>
    <w:rsid w:val="001D6FA6"/>
    <w:rsid w:val="001E1798"/>
    <w:rsid w:val="001E1FA7"/>
    <w:rsid w:val="001E282A"/>
    <w:rsid w:val="001E6D3A"/>
    <w:rsid w:val="00203883"/>
    <w:rsid w:val="002174A2"/>
    <w:rsid w:val="00227D72"/>
    <w:rsid w:val="00231BAA"/>
    <w:rsid w:val="00237C37"/>
    <w:rsid w:val="0024014E"/>
    <w:rsid w:val="00250C55"/>
    <w:rsid w:val="0025271E"/>
    <w:rsid w:val="002779AB"/>
    <w:rsid w:val="0029622D"/>
    <w:rsid w:val="002A6915"/>
    <w:rsid w:val="002C6C14"/>
    <w:rsid w:val="002D45D3"/>
    <w:rsid w:val="002F53B8"/>
    <w:rsid w:val="002F75B2"/>
    <w:rsid w:val="003042D3"/>
    <w:rsid w:val="003067D8"/>
    <w:rsid w:val="003110B1"/>
    <w:rsid w:val="0032384C"/>
    <w:rsid w:val="0033350F"/>
    <w:rsid w:val="00337CA6"/>
    <w:rsid w:val="003515F4"/>
    <w:rsid w:val="00360156"/>
    <w:rsid w:val="003621CC"/>
    <w:rsid w:val="003638AF"/>
    <w:rsid w:val="00365915"/>
    <w:rsid w:val="0037045C"/>
    <w:rsid w:val="003713D7"/>
    <w:rsid w:val="00372AC0"/>
    <w:rsid w:val="00374196"/>
    <w:rsid w:val="00376CC3"/>
    <w:rsid w:val="00382C93"/>
    <w:rsid w:val="00384A16"/>
    <w:rsid w:val="00387466"/>
    <w:rsid w:val="003926DF"/>
    <w:rsid w:val="003951C9"/>
    <w:rsid w:val="00395AB5"/>
    <w:rsid w:val="00395F88"/>
    <w:rsid w:val="003973CD"/>
    <w:rsid w:val="003A4815"/>
    <w:rsid w:val="003A779D"/>
    <w:rsid w:val="003B29C2"/>
    <w:rsid w:val="003C298B"/>
    <w:rsid w:val="003C422F"/>
    <w:rsid w:val="003E1D25"/>
    <w:rsid w:val="003E2F37"/>
    <w:rsid w:val="003E3705"/>
    <w:rsid w:val="003E3FBE"/>
    <w:rsid w:val="003E5587"/>
    <w:rsid w:val="003F547A"/>
    <w:rsid w:val="003F620D"/>
    <w:rsid w:val="004063B0"/>
    <w:rsid w:val="004103F0"/>
    <w:rsid w:val="00411C9F"/>
    <w:rsid w:val="004167B7"/>
    <w:rsid w:val="004225EF"/>
    <w:rsid w:val="00430629"/>
    <w:rsid w:val="00437AFB"/>
    <w:rsid w:val="0044154A"/>
    <w:rsid w:val="00441686"/>
    <w:rsid w:val="00442153"/>
    <w:rsid w:val="004448D2"/>
    <w:rsid w:val="00450EB1"/>
    <w:rsid w:val="00457D01"/>
    <w:rsid w:val="00462957"/>
    <w:rsid w:val="00464578"/>
    <w:rsid w:val="0046643C"/>
    <w:rsid w:val="00471340"/>
    <w:rsid w:val="0047464B"/>
    <w:rsid w:val="004754CC"/>
    <w:rsid w:val="00483F63"/>
    <w:rsid w:val="004857D7"/>
    <w:rsid w:val="0049233D"/>
    <w:rsid w:val="00495788"/>
    <w:rsid w:val="004A2578"/>
    <w:rsid w:val="004A30A1"/>
    <w:rsid w:val="004B3196"/>
    <w:rsid w:val="004B6F57"/>
    <w:rsid w:val="004C0541"/>
    <w:rsid w:val="004C3B90"/>
    <w:rsid w:val="004C5032"/>
    <w:rsid w:val="004D07A7"/>
    <w:rsid w:val="004D1E9E"/>
    <w:rsid w:val="004E47E0"/>
    <w:rsid w:val="004F0489"/>
    <w:rsid w:val="004F1D76"/>
    <w:rsid w:val="005007DF"/>
    <w:rsid w:val="005054B9"/>
    <w:rsid w:val="005201E5"/>
    <w:rsid w:val="00524328"/>
    <w:rsid w:val="00527B1E"/>
    <w:rsid w:val="00536311"/>
    <w:rsid w:val="0054380F"/>
    <w:rsid w:val="00555E66"/>
    <w:rsid w:val="00555F45"/>
    <w:rsid w:val="0057545B"/>
    <w:rsid w:val="00584B3F"/>
    <w:rsid w:val="00584D18"/>
    <w:rsid w:val="005929AF"/>
    <w:rsid w:val="00592B46"/>
    <w:rsid w:val="00593B48"/>
    <w:rsid w:val="005A0535"/>
    <w:rsid w:val="005B1B49"/>
    <w:rsid w:val="005C0352"/>
    <w:rsid w:val="005C0FD5"/>
    <w:rsid w:val="005C783D"/>
    <w:rsid w:val="005D2EBC"/>
    <w:rsid w:val="005E7EB2"/>
    <w:rsid w:val="005F24E3"/>
    <w:rsid w:val="005F6FCC"/>
    <w:rsid w:val="005F7DA7"/>
    <w:rsid w:val="006044A9"/>
    <w:rsid w:val="00616428"/>
    <w:rsid w:val="00620A81"/>
    <w:rsid w:val="006216B7"/>
    <w:rsid w:val="006227DA"/>
    <w:rsid w:val="0062405F"/>
    <w:rsid w:val="0063030D"/>
    <w:rsid w:val="00634CFB"/>
    <w:rsid w:val="006376FB"/>
    <w:rsid w:val="006414FB"/>
    <w:rsid w:val="00647139"/>
    <w:rsid w:val="00656B51"/>
    <w:rsid w:val="00661641"/>
    <w:rsid w:val="006629CB"/>
    <w:rsid w:val="00665C7D"/>
    <w:rsid w:val="00674A54"/>
    <w:rsid w:val="0067501C"/>
    <w:rsid w:val="00680144"/>
    <w:rsid w:val="006846F0"/>
    <w:rsid w:val="00687541"/>
    <w:rsid w:val="006A5423"/>
    <w:rsid w:val="006B47E2"/>
    <w:rsid w:val="006B55EF"/>
    <w:rsid w:val="006C2116"/>
    <w:rsid w:val="006C4645"/>
    <w:rsid w:val="006D30A0"/>
    <w:rsid w:val="006D5290"/>
    <w:rsid w:val="006E5C06"/>
    <w:rsid w:val="006F070F"/>
    <w:rsid w:val="006F0A4B"/>
    <w:rsid w:val="007016C1"/>
    <w:rsid w:val="00703360"/>
    <w:rsid w:val="00725B00"/>
    <w:rsid w:val="00725D61"/>
    <w:rsid w:val="007267E3"/>
    <w:rsid w:val="00727186"/>
    <w:rsid w:val="0073444C"/>
    <w:rsid w:val="00750259"/>
    <w:rsid w:val="007756B1"/>
    <w:rsid w:val="00780CE2"/>
    <w:rsid w:val="0078530F"/>
    <w:rsid w:val="00793C8F"/>
    <w:rsid w:val="007A13D4"/>
    <w:rsid w:val="007B0CAA"/>
    <w:rsid w:val="007B30CB"/>
    <w:rsid w:val="007B640B"/>
    <w:rsid w:val="007C261D"/>
    <w:rsid w:val="007D11A4"/>
    <w:rsid w:val="007D27E1"/>
    <w:rsid w:val="007D72FA"/>
    <w:rsid w:val="007F38D3"/>
    <w:rsid w:val="007F45B9"/>
    <w:rsid w:val="007F4F29"/>
    <w:rsid w:val="007F594B"/>
    <w:rsid w:val="00803794"/>
    <w:rsid w:val="00804553"/>
    <w:rsid w:val="0081060F"/>
    <w:rsid w:val="00811948"/>
    <w:rsid w:val="00814B2B"/>
    <w:rsid w:val="00823980"/>
    <w:rsid w:val="00824254"/>
    <w:rsid w:val="00826ACF"/>
    <w:rsid w:val="00840AA5"/>
    <w:rsid w:val="008458D5"/>
    <w:rsid w:val="00851CE8"/>
    <w:rsid w:val="00851D48"/>
    <w:rsid w:val="00860F9C"/>
    <w:rsid w:val="008634BD"/>
    <w:rsid w:val="00864F4C"/>
    <w:rsid w:val="00865610"/>
    <w:rsid w:val="0088098D"/>
    <w:rsid w:val="0089409F"/>
    <w:rsid w:val="00897597"/>
    <w:rsid w:val="008B0B7B"/>
    <w:rsid w:val="008B3F51"/>
    <w:rsid w:val="008B3FDB"/>
    <w:rsid w:val="008B4EFC"/>
    <w:rsid w:val="008C3807"/>
    <w:rsid w:val="008C59CA"/>
    <w:rsid w:val="008E13F2"/>
    <w:rsid w:val="008E2DA4"/>
    <w:rsid w:val="008F2702"/>
    <w:rsid w:val="00911E3F"/>
    <w:rsid w:val="00915920"/>
    <w:rsid w:val="00921EA3"/>
    <w:rsid w:val="00923720"/>
    <w:rsid w:val="009249ED"/>
    <w:rsid w:val="00935B8D"/>
    <w:rsid w:val="00936C4F"/>
    <w:rsid w:val="0094784B"/>
    <w:rsid w:val="00953D21"/>
    <w:rsid w:val="00957A44"/>
    <w:rsid w:val="00964ADD"/>
    <w:rsid w:val="00975C10"/>
    <w:rsid w:val="00976194"/>
    <w:rsid w:val="00981306"/>
    <w:rsid w:val="0098564E"/>
    <w:rsid w:val="00985F64"/>
    <w:rsid w:val="00986756"/>
    <w:rsid w:val="00987A7D"/>
    <w:rsid w:val="009952EE"/>
    <w:rsid w:val="009A6BE2"/>
    <w:rsid w:val="009B1DCE"/>
    <w:rsid w:val="009B4C74"/>
    <w:rsid w:val="009C0788"/>
    <w:rsid w:val="009C43FC"/>
    <w:rsid w:val="009D2A77"/>
    <w:rsid w:val="009D5E9F"/>
    <w:rsid w:val="009D7A29"/>
    <w:rsid w:val="009E32A0"/>
    <w:rsid w:val="009E5A09"/>
    <w:rsid w:val="009E5A33"/>
    <w:rsid w:val="009E73B9"/>
    <w:rsid w:val="009F03B3"/>
    <w:rsid w:val="009F29CE"/>
    <w:rsid w:val="009F4C59"/>
    <w:rsid w:val="00A00647"/>
    <w:rsid w:val="00A0319F"/>
    <w:rsid w:val="00A10CC5"/>
    <w:rsid w:val="00A131A9"/>
    <w:rsid w:val="00A162D8"/>
    <w:rsid w:val="00A32015"/>
    <w:rsid w:val="00A325E4"/>
    <w:rsid w:val="00A353C1"/>
    <w:rsid w:val="00A3788A"/>
    <w:rsid w:val="00A526A1"/>
    <w:rsid w:val="00A5624A"/>
    <w:rsid w:val="00A6046F"/>
    <w:rsid w:val="00A607D0"/>
    <w:rsid w:val="00A616F8"/>
    <w:rsid w:val="00A71276"/>
    <w:rsid w:val="00A722D2"/>
    <w:rsid w:val="00A83A72"/>
    <w:rsid w:val="00A85CF8"/>
    <w:rsid w:val="00A9042D"/>
    <w:rsid w:val="00A93798"/>
    <w:rsid w:val="00AA1530"/>
    <w:rsid w:val="00AA5F6F"/>
    <w:rsid w:val="00AB465E"/>
    <w:rsid w:val="00AC3F93"/>
    <w:rsid w:val="00AC46E8"/>
    <w:rsid w:val="00AC525C"/>
    <w:rsid w:val="00AC6594"/>
    <w:rsid w:val="00AD470F"/>
    <w:rsid w:val="00AE1D8A"/>
    <w:rsid w:val="00AE1F27"/>
    <w:rsid w:val="00AE77FB"/>
    <w:rsid w:val="00AF3525"/>
    <w:rsid w:val="00AF587E"/>
    <w:rsid w:val="00B0608A"/>
    <w:rsid w:val="00B1658B"/>
    <w:rsid w:val="00B33C5E"/>
    <w:rsid w:val="00B36BAD"/>
    <w:rsid w:val="00B43297"/>
    <w:rsid w:val="00B54145"/>
    <w:rsid w:val="00B561F1"/>
    <w:rsid w:val="00B57D29"/>
    <w:rsid w:val="00B66DC1"/>
    <w:rsid w:val="00B71553"/>
    <w:rsid w:val="00B730FE"/>
    <w:rsid w:val="00B7562A"/>
    <w:rsid w:val="00B757BD"/>
    <w:rsid w:val="00BB1E4F"/>
    <w:rsid w:val="00BB4832"/>
    <w:rsid w:val="00BD1648"/>
    <w:rsid w:val="00BE5ACD"/>
    <w:rsid w:val="00BF2D66"/>
    <w:rsid w:val="00C146EA"/>
    <w:rsid w:val="00C2632F"/>
    <w:rsid w:val="00C36958"/>
    <w:rsid w:val="00C3756F"/>
    <w:rsid w:val="00C5040D"/>
    <w:rsid w:val="00C517FA"/>
    <w:rsid w:val="00C51A53"/>
    <w:rsid w:val="00C57B04"/>
    <w:rsid w:val="00C64E26"/>
    <w:rsid w:val="00C73475"/>
    <w:rsid w:val="00C93EED"/>
    <w:rsid w:val="00CB6CC7"/>
    <w:rsid w:val="00CC2E0C"/>
    <w:rsid w:val="00CC33B4"/>
    <w:rsid w:val="00CD1CF4"/>
    <w:rsid w:val="00CD335E"/>
    <w:rsid w:val="00CD7E6B"/>
    <w:rsid w:val="00CE24B1"/>
    <w:rsid w:val="00CF2C8E"/>
    <w:rsid w:val="00CF4082"/>
    <w:rsid w:val="00CF7230"/>
    <w:rsid w:val="00D06FA3"/>
    <w:rsid w:val="00D0759E"/>
    <w:rsid w:val="00D236DB"/>
    <w:rsid w:val="00D274F1"/>
    <w:rsid w:val="00D44150"/>
    <w:rsid w:val="00D5002E"/>
    <w:rsid w:val="00D502C0"/>
    <w:rsid w:val="00D544E6"/>
    <w:rsid w:val="00D54BCF"/>
    <w:rsid w:val="00D5508C"/>
    <w:rsid w:val="00D601C3"/>
    <w:rsid w:val="00D6257D"/>
    <w:rsid w:val="00D672DF"/>
    <w:rsid w:val="00D67D07"/>
    <w:rsid w:val="00D7037A"/>
    <w:rsid w:val="00D74E16"/>
    <w:rsid w:val="00D83E55"/>
    <w:rsid w:val="00D91EAB"/>
    <w:rsid w:val="00D93282"/>
    <w:rsid w:val="00D9787E"/>
    <w:rsid w:val="00DA5355"/>
    <w:rsid w:val="00DA5EFF"/>
    <w:rsid w:val="00DB122C"/>
    <w:rsid w:val="00DB36F1"/>
    <w:rsid w:val="00DB58D5"/>
    <w:rsid w:val="00DC5B7D"/>
    <w:rsid w:val="00DC7647"/>
    <w:rsid w:val="00DF7E1E"/>
    <w:rsid w:val="00E01F44"/>
    <w:rsid w:val="00E13CD9"/>
    <w:rsid w:val="00E17DAD"/>
    <w:rsid w:val="00E20478"/>
    <w:rsid w:val="00E27445"/>
    <w:rsid w:val="00E32DB8"/>
    <w:rsid w:val="00E37B1D"/>
    <w:rsid w:val="00E4379D"/>
    <w:rsid w:val="00E44007"/>
    <w:rsid w:val="00E64F7C"/>
    <w:rsid w:val="00E76C33"/>
    <w:rsid w:val="00E7702A"/>
    <w:rsid w:val="00E809F9"/>
    <w:rsid w:val="00E84F2C"/>
    <w:rsid w:val="00E8566D"/>
    <w:rsid w:val="00E94DCD"/>
    <w:rsid w:val="00E94F6E"/>
    <w:rsid w:val="00EA47BB"/>
    <w:rsid w:val="00EA6872"/>
    <w:rsid w:val="00EB1DE0"/>
    <w:rsid w:val="00EB541D"/>
    <w:rsid w:val="00EC096E"/>
    <w:rsid w:val="00ED119D"/>
    <w:rsid w:val="00ED1987"/>
    <w:rsid w:val="00ED343F"/>
    <w:rsid w:val="00EE044B"/>
    <w:rsid w:val="00EE0CB5"/>
    <w:rsid w:val="00EE1013"/>
    <w:rsid w:val="00EE28D7"/>
    <w:rsid w:val="00EE5DF4"/>
    <w:rsid w:val="00EF5079"/>
    <w:rsid w:val="00F01E4C"/>
    <w:rsid w:val="00F02CBB"/>
    <w:rsid w:val="00F07475"/>
    <w:rsid w:val="00F108E3"/>
    <w:rsid w:val="00F113C8"/>
    <w:rsid w:val="00F11E5F"/>
    <w:rsid w:val="00F22AED"/>
    <w:rsid w:val="00F34899"/>
    <w:rsid w:val="00F40AFE"/>
    <w:rsid w:val="00F552D4"/>
    <w:rsid w:val="00F5617D"/>
    <w:rsid w:val="00F7129E"/>
    <w:rsid w:val="00F756DC"/>
    <w:rsid w:val="00F80C44"/>
    <w:rsid w:val="00F84336"/>
    <w:rsid w:val="00F92DC4"/>
    <w:rsid w:val="00F94D5D"/>
    <w:rsid w:val="00FA04B4"/>
    <w:rsid w:val="00FA2046"/>
    <w:rsid w:val="00FA5E55"/>
    <w:rsid w:val="00FB01C9"/>
    <w:rsid w:val="00FB08E7"/>
    <w:rsid w:val="00FB105F"/>
    <w:rsid w:val="00FC07F8"/>
    <w:rsid w:val="00FC2BC6"/>
    <w:rsid w:val="00FC6575"/>
    <w:rsid w:val="00FC6661"/>
    <w:rsid w:val="00FD0054"/>
    <w:rsid w:val="00FD0A20"/>
    <w:rsid w:val="00FE1331"/>
    <w:rsid w:val="00FE3F67"/>
    <w:rsid w:val="00FE74BA"/>
    <w:rsid w:val="00FE7FCB"/>
    <w:rsid w:val="00FF1FC1"/>
    <w:rsid w:val="178DC8FB"/>
    <w:rsid w:val="24242F8C"/>
    <w:rsid w:val="3A5F04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5C4720"/>
  <w15:chartTrackingRefBased/>
  <w15:docId w15:val="{535950E6-CDEA-4AC4-AEDD-DD11B804C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9" w:qFormat="1"/>
    <w:lsdException w:name="heading 2" w:uiPriority="19" w:qFormat="1"/>
    <w:lsdException w:name="heading 3" w:uiPriority="19"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uiPriority="39" w:unhideWhenUsed="1"/>
    <w:lsdException w:name="toc 4" w:semiHidden="1" w:uiPriority="31" w:unhideWhenUsed="1"/>
    <w:lsdException w:name="toc 5" w:semiHidden="1" w:uiPriority="31" w:unhideWhenUsed="1"/>
    <w:lsdException w:name="toc 6" w:semiHidden="1" w:uiPriority="31" w:unhideWhenUsed="1"/>
    <w:lsdException w:name="toc 7" w:semiHidden="1" w:uiPriority="31" w:unhideWhenUsed="1"/>
    <w:lsdException w:name="toc 8" w:semiHidden="1" w:uiPriority="31" w:unhideWhenUsed="1"/>
    <w:lsdException w:name="toc 9" w:semiHidden="1" w:uiPriority="31" w:unhideWhenUsed="1"/>
    <w:lsdException w:name="Normal Indent" w:semiHidden="1" w:uiPriority="0" w:unhideWhenUsed="1"/>
    <w:lsdException w:name="footnote text" w:semiHidden="1" w:uiPriority="39" w:unhideWhenUsed="1"/>
    <w:lsdException w:name="annotation text" w:semiHidden="1" w:unhideWhenUsed="1"/>
    <w:lsdException w:name="header" w:semiHidden="1" w:uiPriority="39" w:unhideWhenUsed="1"/>
    <w:lsdException w:name="footer" w:semiHidden="1" w:uiPriority="10" w:unhideWhenUsed="1"/>
    <w:lsdException w:name="index heading" w:semiHidden="1" w:uiPriority="0" w:unhideWhenUsed="1"/>
    <w:lsdException w:name="caption" w:semiHidden="1" w:uiPriority="34"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39" w:unhideWhenUsed="1"/>
    <w:lsdException w:name="annotation reference" w:semiHidden="1" w:unhideWhenUsed="1"/>
    <w:lsdException w:name="line number" w:semiHidden="1" w:unhideWhenUsed="1"/>
    <w:lsdException w:name="page number" w:semiHidden="1" w:uiPriority="15" w:unhideWhenUsed="1"/>
    <w:lsdException w:name="endnote reference" w:semiHidden="1" w:uiPriority="39" w:unhideWhenUsed="1"/>
    <w:lsdException w:name="endnote text" w:semiHidden="1" w:uiPriority="3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unhideWhenUsed="1"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4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FollowedHyperlink" w:semiHidden="1" w:uiPriority="36" w:unhideWhenUsed="1"/>
    <w:lsdException w:name="Strong" w:semiHidden="1" w:uiPriority="49" w:unhideWhenUsed="1" w:qFormat="1"/>
    <w:lsdException w:name="Emphasis" w:uiPriority="12"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59" w:unhideWhenUsed="1" w:qFormat="1"/>
    <w:lsdException w:name="Quote" w:semiHidden="1" w:unhideWhenUsed="1" w:qFormat="1"/>
    <w:lsdException w:name="Intense Quote"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3" w:qFormat="1"/>
    <w:lsdException w:name="Subtle Reference" w:semiHidden="1" w:uiPriority="31" w:unhideWhenUsed="1" w:qFormat="1"/>
    <w:lsdException w:name="Intense Reference" w:semiHidden="1" w:unhideWhenUsed="1" w:qFormat="1"/>
    <w:lsdException w:name="Book Title" w:semiHidden="1" w:unhideWhenUsed="1" w:qFormat="1"/>
    <w:lsdException w:name="Bibliography" w:semiHidden="1" w:uiPriority="33"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C4F"/>
    <w:pPr>
      <w:spacing w:line="260" w:lineRule="atLeast"/>
    </w:pPr>
  </w:style>
  <w:style w:type="paragraph" w:styleId="Heading1">
    <w:name w:val="heading 1"/>
    <w:basedOn w:val="Normal"/>
    <w:next w:val="Normal"/>
    <w:link w:val="Heading1Char"/>
    <w:uiPriority w:val="19"/>
    <w:qFormat/>
    <w:rsid w:val="002779AB"/>
    <w:pPr>
      <w:keepNext/>
      <w:numPr>
        <w:numId w:val="7"/>
      </w:numPr>
      <w:spacing w:after="280" w:line="320" w:lineRule="exact"/>
      <w:contextualSpacing/>
      <w:outlineLvl w:val="0"/>
    </w:pPr>
    <w:rPr>
      <w:rFonts w:asciiTheme="majorHAnsi" w:hAnsiTheme="majorHAnsi" w:cs="Arial"/>
      <w:bCs/>
      <w:sz w:val="28"/>
      <w:szCs w:val="28"/>
      <w:lang w:eastAsia="de-DE"/>
    </w:rPr>
  </w:style>
  <w:style w:type="paragraph" w:styleId="Heading2">
    <w:name w:val="heading 2"/>
    <w:basedOn w:val="Normal"/>
    <w:next w:val="Normal"/>
    <w:link w:val="Heading2Char"/>
    <w:uiPriority w:val="19"/>
    <w:qFormat/>
    <w:rsid w:val="002779AB"/>
    <w:pPr>
      <w:keepNext/>
      <w:numPr>
        <w:ilvl w:val="1"/>
        <w:numId w:val="7"/>
      </w:numPr>
      <w:spacing w:after="240"/>
      <w:contextualSpacing/>
      <w:outlineLvl w:val="1"/>
    </w:pPr>
    <w:rPr>
      <w:rFonts w:asciiTheme="majorHAnsi" w:hAnsiTheme="majorHAnsi" w:cs="Arial"/>
      <w:bCs/>
      <w:sz w:val="24"/>
      <w:szCs w:val="24"/>
      <w:lang w:eastAsia="de-DE"/>
    </w:rPr>
  </w:style>
  <w:style w:type="paragraph" w:styleId="Heading3">
    <w:name w:val="heading 3"/>
    <w:basedOn w:val="Normal"/>
    <w:next w:val="Normal"/>
    <w:link w:val="Heading3Char"/>
    <w:uiPriority w:val="19"/>
    <w:qFormat/>
    <w:rsid w:val="002779AB"/>
    <w:pPr>
      <w:keepNext/>
      <w:numPr>
        <w:ilvl w:val="2"/>
        <w:numId w:val="7"/>
      </w:numPr>
      <w:spacing w:after="240"/>
      <w:contextualSpacing/>
      <w:outlineLvl w:val="2"/>
    </w:pPr>
    <w:rPr>
      <w:rFonts w:asciiTheme="majorHAnsi" w:hAnsiTheme="majorHAnsi" w:cs="Arial"/>
      <w:szCs w:val="18"/>
      <w:lang w:eastAsia="de-DE"/>
    </w:rPr>
  </w:style>
  <w:style w:type="paragraph" w:styleId="Heading4">
    <w:name w:val="heading 4"/>
    <w:basedOn w:val="Normal"/>
    <w:next w:val="Normal"/>
    <w:link w:val="Heading4Char"/>
    <w:uiPriority w:val="19"/>
    <w:unhideWhenUsed/>
    <w:qFormat/>
    <w:rsid w:val="009E5A33"/>
    <w:pPr>
      <w:keepNext/>
      <w:numPr>
        <w:ilvl w:val="3"/>
        <w:numId w:val="7"/>
      </w:numPr>
      <w:spacing w:after="120" w:line="240" w:lineRule="atLeast"/>
      <w:contextualSpacing/>
      <w:outlineLvl w:val="3"/>
    </w:pPr>
    <w:rPr>
      <w:rFonts w:cs="Arial"/>
      <w:szCs w:val="18"/>
      <w:lang w:eastAsia="de-DE"/>
    </w:rPr>
  </w:style>
  <w:style w:type="paragraph" w:styleId="Heading5">
    <w:name w:val="heading 5"/>
    <w:basedOn w:val="Normal"/>
    <w:next w:val="Normal"/>
    <w:link w:val="Heading5Char"/>
    <w:uiPriority w:val="19"/>
    <w:unhideWhenUsed/>
    <w:qFormat/>
    <w:rsid w:val="000B2869"/>
    <w:pPr>
      <w:keepNext/>
      <w:numPr>
        <w:ilvl w:val="4"/>
        <w:numId w:val="7"/>
      </w:numPr>
      <w:spacing w:after="120"/>
      <w:contextualSpacing/>
      <w:outlineLvl w:val="4"/>
    </w:pPr>
    <w:rPr>
      <w:rFonts w:cs="Arial"/>
      <w:szCs w:val="18"/>
      <w:lang w:eastAsia="de-DE"/>
    </w:rPr>
  </w:style>
  <w:style w:type="paragraph" w:styleId="Heading6">
    <w:name w:val="heading 6"/>
    <w:basedOn w:val="Normal"/>
    <w:next w:val="Normal"/>
    <w:link w:val="Heading6Char"/>
    <w:uiPriority w:val="19"/>
    <w:semiHidden/>
    <w:qFormat/>
    <w:rsid w:val="00DB58D5"/>
    <w:pPr>
      <w:numPr>
        <w:ilvl w:val="5"/>
        <w:numId w:val="4"/>
      </w:numPr>
      <w:spacing w:after="120" w:line="240" w:lineRule="atLeast"/>
      <w:contextualSpacing/>
      <w:outlineLvl w:val="5"/>
    </w:pPr>
    <w:rPr>
      <w:bCs/>
      <w:sz w:val="18"/>
      <w:lang w:eastAsia="de-DE"/>
    </w:rPr>
  </w:style>
  <w:style w:type="paragraph" w:styleId="Heading7">
    <w:name w:val="heading 7"/>
    <w:basedOn w:val="Normal"/>
    <w:next w:val="Normal"/>
    <w:link w:val="Heading7Char"/>
    <w:uiPriority w:val="19"/>
    <w:semiHidden/>
    <w:qFormat/>
    <w:rsid w:val="00DB58D5"/>
    <w:pPr>
      <w:numPr>
        <w:ilvl w:val="6"/>
        <w:numId w:val="4"/>
      </w:numPr>
      <w:spacing w:after="120" w:line="240" w:lineRule="atLeast"/>
      <w:contextualSpacing/>
      <w:outlineLvl w:val="6"/>
    </w:pPr>
    <w:rPr>
      <w:sz w:val="18"/>
      <w:szCs w:val="24"/>
      <w:lang w:eastAsia="de-DE"/>
    </w:rPr>
  </w:style>
  <w:style w:type="paragraph" w:styleId="Heading8">
    <w:name w:val="heading 8"/>
    <w:basedOn w:val="Normal"/>
    <w:next w:val="Normal"/>
    <w:link w:val="Heading8Char"/>
    <w:uiPriority w:val="19"/>
    <w:semiHidden/>
    <w:qFormat/>
    <w:rsid w:val="00DB58D5"/>
    <w:pPr>
      <w:numPr>
        <w:ilvl w:val="7"/>
        <w:numId w:val="4"/>
      </w:numPr>
      <w:spacing w:after="120" w:line="240" w:lineRule="atLeast"/>
      <w:contextualSpacing/>
      <w:outlineLvl w:val="7"/>
    </w:pPr>
    <w:rPr>
      <w:iCs/>
      <w:sz w:val="18"/>
      <w:szCs w:val="24"/>
      <w:lang w:eastAsia="de-DE"/>
    </w:rPr>
  </w:style>
  <w:style w:type="paragraph" w:styleId="Heading9">
    <w:name w:val="heading 9"/>
    <w:basedOn w:val="Normal"/>
    <w:next w:val="Normal"/>
    <w:link w:val="Heading9Char"/>
    <w:uiPriority w:val="19"/>
    <w:semiHidden/>
    <w:qFormat/>
    <w:rsid w:val="00DB58D5"/>
    <w:pPr>
      <w:numPr>
        <w:ilvl w:val="8"/>
        <w:numId w:val="4"/>
      </w:numPr>
      <w:tabs>
        <w:tab w:val="left" w:pos="1701"/>
      </w:tabs>
      <w:spacing w:after="120" w:line="240" w:lineRule="atLeast"/>
      <w:contextualSpacing/>
      <w:outlineLvl w:val="8"/>
    </w:pPr>
    <w:rPr>
      <w:sz w:val="18"/>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14"/>
    <w:unhideWhenUsed/>
    <w:rsid w:val="00DB58D5"/>
  </w:style>
  <w:style w:type="character" w:customStyle="1" w:styleId="HeaderChar">
    <w:name w:val="Header Char"/>
    <w:link w:val="Header"/>
    <w:uiPriority w:val="14"/>
    <w:rsid w:val="001E1FA7"/>
    <w:rPr>
      <w:rFonts w:ascii="Arial Narrow" w:hAnsi="Arial Narrow" w:cs="Times New Roman"/>
      <w:sz w:val="20"/>
    </w:rPr>
  </w:style>
  <w:style w:type="paragraph" w:styleId="Footer">
    <w:name w:val="footer"/>
    <w:basedOn w:val="Normal"/>
    <w:link w:val="FooterChar"/>
    <w:uiPriority w:val="10"/>
    <w:rsid w:val="00372AC0"/>
    <w:pPr>
      <w:tabs>
        <w:tab w:val="center" w:pos="4536"/>
        <w:tab w:val="right" w:pos="9072"/>
      </w:tabs>
      <w:spacing w:line="240" w:lineRule="auto"/>
    </w:pPr>
    <w:rPr>
      <w:sz w:val="14"/>
    </w:rPr>
  </w:style>
  <w:style w:type="character" w:customStyle="1" w:styleId="FooterChar">
    <w:name w:val="Footer Char"/>
    <w:link w:val="Footer"/>
    <w:uiPriority w:val="10"/>
    <w:rsid w:val="00372AC0"/>
    <w:rPr>
      <w:sz w:val="14"/>
    </w:rPr>
  </w:style>
  <w:style w:type="paragraph" w:styleId="ListBullet2">
    <w:name w:val="List Bullet 2"/>
    <w:basedOn w:val="Normal"/>
    <w:uiPriority w:val="99"/>
    <w:semiHidden/>
    <w:rsid w:val="00E94DCD"/>
    <w:pPr>
      <w:numPr>
        <w:ilvl w:val="4"/>
        <w:numId w:val="5"/>
      </w:numPr>
    </w:pPr>
  </w:style>
  <w:style w:type="paragraph" w:styleId="ListBullet3">
    <w:name w:val="List Bullet 3"/>
    <w:basedOn w:val="Normal"/>
    <w:uiPriority w:val="99"/>
    <w:semiHidden/>
    <w:rsid w:val="00E94DCD"/>
    <w:pPr>
      <w:numPr>
        <w:ilvl w:val="5"/>
        <w:numId w:val="5"/>
      </w:numPr>
    </w:pPr>
  </w:style>
  <w:style w:type="paragraph" w:styleId="ListBullet4">
    <w:name w:val="List Bullet 4"/>
    <w:basedOn w:val="Normal"/>
    <w:uiPriority w:val="99"/>
    <w:semiHidden/>
    <w:rsid w:val="00E94DCD"/>
    <w:pPr>
      <w:numPr>
        <w:ilvl w:val="6"/>
        <w:numId w:val="5"/>
      </w:numPr>
    </w:pPr>
  </w:style>
  <w:style w:type="paragraph" w:styleId="ListBullet5">
    <w:name w:val="List Bullet 5"/>
    <w:basedOn w:val="Normal"/>
    <w:uiPriority w:val="99"/>
    <w:semiHidden/>
    <w:rsid w:val="00E94DCD"/>
    <w:pPr>
      <w:numPr>
        <w:ilvl w:val="7"/>
        <w:numId w:val="5"/>
      </w:numPr>
    </w:pPr>
  </w:style>
  <w:style w:type="table" w:customStyle="1" w:styleId="BasisTabelle">
    <w:name w:val="Basis Tabelle"/>
    <w:basedOn w:val="TableNormal"/>
    <w:rsid w:val="000B2869"/>
    <w:rPr>
      <w:lang w:eastAsia="de-CH"/>
    </w:rPr>
    <w:tblPr>
      <w:tblStyleRowBandSize w:val="1"/>
      <w:tblBorders>
        <w:bottom w:val="single" w:sz="2" w:space="0" w:color="808080"/>
        <w:insideH w:val="single" w:sz="2" w:space="0" w:color="808080"/>
      </w:tblBorders>
      <w:tblCellMar>
        <w:top w:w="57" w:type="dxa"/>
        <w:left w:w="57" w:type="dxa"/>
        <w:bottom w:w="57" w:type="dxa"/>
        <w:right w:w="57" w:type="dxa"/>
      </w:tblCellMar>
    </w:tblPr>
    <w:tblStylePr w:type="firstRow">
      <w:rPr>
        <w:rFonts w:asciiTheme="majorHAnsi" w:hAnsiTheme="majorHAnsi"/>
        <w:b w:val="0"/>
      </w:rPr>
      <w:tblPr/>
      <w:tcPr>
        <w:tcBorders>
          <w:bottom w:val="single" w:sz="4" w:space="0" w:color="808080"/>
        </w:tcBorders>
      </w:tcPr>
    </w:tblStylePr>
    <w:tblStylePr w:type="band1Horz">
      <w:tblPr/>
      <w:tcPr>
        <w:tcBorders>
          <w:bottom w:val="single" w:sz="4" w:space="0" w:color="808080"/>
        </w:tcBorders>
      </w:tcPr>
    </w:tblStylePr>
    <w:tblStylePr w:type="band2Horz">
      <w:tblPr/>
      <w:tcPr>
        <w:shd w:val="clear" w:color="auto" w:fill="E6E6E6"/>
      </w:tcPr>
    </w:tblStylePr>
  </w:style>
  <w:style w:type="paragraph" w:styleId="Caption">
    <w:name w:val="caption"/>
    <w:basedOn w:val="Normal"/>
    <w:next w:val="Normal"/>
    <w:uiPriority w:val="39"/>
    <w:unhideWhenUsed/>
    <w:rsid w:val="0002682B"/>
    <w:pPr>
      <w:framePr w:h="454" w:wrap="around" w:vAnchor="text" w:hAnchor="text" w:y="1"/>
      <w:suppressLineNumbers/>
      <w:spacing w:before="60" w:after="120" w:line="200" w:lineRule="atLeast"/>
      <w:ind w:right="113"/>
    </w:pPr>
    <w:rPr>
      <w:bCs/>
    </w:rPr>
  </w:style>
  <w:style w:type="character" w:styleId="FollowedHyperlink">
    <w:name w:val="FollowedHyperlink"/>
    <w:uiPriority w:val="41"/>
    <w:semiHidden/>
    <w:unhideWhenUsed/>
    <w:rsid w:val="00DB58D5"/>
    <w:rPr>
      <w:color w:val="auto"/>
      <w:u w:val="single"/>
    </w:rPr>
  </w:style>
  <w:style w:type="paragraph" w:styleId="BlockText">
    <w:name w:val="Block Text"/>
    <w:basedOn w:val="Normal"/>
    <w:uiPriority w:val="99"/>
    <w:semiHidden/>
    <w:rsid w:val="00E94DCD"/>
    <w:pPr>
      <w:ind w:left="1440" w:right="1440"/>
    </w:pPr>
  </w:style>
  <w:style w:type="paragraph" w:customStyle="1" w:styleId="BulletpointsEbene1">
    <w:name w:val="Bulletpoints Ebene 1"/>
    <w:basedOn w:val="Normal"/>
    <w:uiPriority w:val="99"/>
    <w:semiHidden/>
    <w:rsid w:val="00E94DCD"/>
    <w:pPr>
      <w:numPr>
        <w:numId w:val="1"/>
      </w:numPr>
      <w:tabs>
        <w:tab w:val="left" w:pos="454"/>
      </w:tabs>
      <w:spacing w:line="280" w:lineRule="atLeast"/>
    </w:pPr>
    <w:rPr>
      <w:rFonts w:eastAsia="Calibri" w:cs="Arial"/>
    </w:rPr>
  </w:style>
  <w:style w:type="paragraph" w:customStyle="1" w:styleId="BulletpointsEbene2">
    <w:name w:val="Bulletpoints Ebene 2"/>
    <w:basedOn w:val="Normal"/>
    <w:uiPriority w:val="99"/>
    <w:semiHidden/>
    <w:rsid w:val="00E94DCD"/>
    <w:pPr>
      <w:numPr>
        <w:ilvl w:val="1"/>
        <w:numId w:val="1"/>
      </w:numPr>
    </w:pPr>
    <w:rPr>
      <w:rFonts w:eastAsia="Calibri" w:cs="Arial"/>
    </w:rPr>
  </w:style>
  <w:style w:type="paragraph" w:styleId="DocumentMap">
    <w:name w:val="Document Map"/>
    <w:basedOn w:val="Normal"/>
    <w:link w:val="DocumentMapChar"/>
    <w:uiPriority w:val="99"/>
    <w:semiHidden/>
    <w:unhideWhenUsed/>
    <w:rsid w:val="00E94DCD"/>
    <w:pPr>
      <w:shd w:val="clear" w:color="auto" w:fill="000080"/>
    </w:pPr>
    <w:rPr>
      <w:rFonts w:ascii="Tahoma" w:hAnsi="Tahoma"/>
    </w:rPr>
  </w:style>
  <w:style w:type="character" w:customStyle="1" w:styleId="DocumentMapChar">
    <w:name w:val="Document Map Char"/>
    <w:link w:val="DocumentMap"/>
    <w:uiPriority w:val="99"/>
    <w:semiHidden/>
    <w:rsid w:val="00D44150"/>
    <w:rPr>
      <w:rFonts w:ascii="Tahoma" w:hAnsi="Tahoma" w:cs="Times New Roman"/>
      <w:sz w:val="20"/>
      <w:szCs w:val="20"/>
      <w:shd w:val="clear" w:color="auto" w:fill="000080"/>
    </w:rPr>
  </w:style>
  <w:style w:type="paragraph" w:styleId="Closing">
    <w:name w:val="Closing"/>
    <w:basedOn w:val="Normal"/>
    <w:link w:val="ClosingChar"/>
    <w:uiPriority w:val="99"/>
    <w:semiHidden/>
    <w:rsid w:val="00E94DCD"/>
  </w:style>
  <w:style w:type="character" w:customStyle="1" w:styleId="ClosingChar">
    <w:name w:val="Closing Char"/>
    <w:link w:val="Closing"/>
    <w:uiPriority w:val="99"/>
    <w:semiHidden/>
    <w:rsid w:val="00D44150"/>
    <w:rPr>
      <w:rFonts w:ascii="Arial Narrow" w:hAnsi="Arial Narrow" w:cs="Times New Roman"/>
    </w:rPr>
  </w:style>
  <w:style w:type="character" w:styleId="Emphasis">
    <w:name w:val="Emphasis"/>
    <w:uiPriority w:val="50"/>
    <w:qFormat/>
    <w:rsid w:val="001665A6"/>
    <w:rPr>
      <w:rFonts w:asciiTheme="majorHAnsi" w:hAnsiTheme="majorHAnsi"/>
      <w:b w:val="0"/>
      <w:iCs/>
      <w:color w:val="66CC33" w:themeColor="accent1"/>
    </w:rPr>
  </w:style>
  <w:style w:type="paragraph" w:styleId="HTMLAddress">
    <w:name w:val="HTML Address"/>
    <w:basedOn w:val="Normal"/>
    <w:link w:val="HTMLAddressChar"/>
    <w:uiPriority w:val="99"/>
    <w:semiHidden/>
    <w:rsid w:val="00E94DCD"/>
    <w:rPr>
      <w:i/>
      <w:iCs/>
    </w:rPr>
  </w:style>
  <w:style w:type="character" w:customStyle="1" w:styleId="HTMLAddressChar">
    <w:name w:val="HTML Address Char"/>
    <w:link w:val="HTMLAddress"/>
    <w:uiPriority w:val="99"/>
    <w:semiHidden/>
    <w:rsid w:val="00D44150"/>
    <w:rPr>
      <w:rFonts w:ascii="Arial Narrow" w:hAnsi="Arial Narrow" w:cs="Times New Roman"/>
      <w:i/>
      <w:iCs/>
    </w:rPr>
  </w:style>
  <w:style w:type="character" w:styleId="HTMLAcronym">
    <w:name w:val="HTML Acronym"/>
    <w:basedOn w:val="DefaultParagraphFont"/>
    <w:uiPriority w:val="99"/>
    <w:semiHidden/>
    <w:rsid w:val="00E94DCD"/>
  </w:style>
  <w:style w:type="character" w:styleId="HTMLSample">
    <w:name w:val="HTML Sample"/>
    <w:uiPriority w:val="99"/>
    <w:semiHidden/>
    <w:rsid w:val="00E94DCD"/>
    <w:rPr>
      <w:rFonts w:ascii="Courier New" w:hAnsi="Courier New"/>
    </w:rPr>
  </w:style>
  <w:style w:type="character" w:styleId="HTMLCode">
    <w:name w:val="HTML Code"/>
    <w:uiPriority w:val="99"/>
    <w:semiHidden/>
    <w:rsid w:val="00E94DCD"/>
    <w:rPr>
      <w:rFonts w:ascii="Courier New" w:hAnsi="Courier New"/>
      <w:sz w:val="20"/>
      <w:szCs w:val="20"/>
    </w:rPr>
  </w:style>
  <w:style w:type="character" w:styleId="HTMLDefinition">
    <w:name w:val="HTML Definition"/>
    <w:uiPriority w:val="99"/>
    <w:semiHidden/>
    <w:rsid w:val="00E94DCD"/>
    <w:rPr>
      <w:i/>
      <w:iCs/>
    </w:rPr>
  </w:style>
  <w:style w:type="character" w:styleId="HTMLTypewriter">
    <w:name w:val="HTML Typewriter"/>
    <w:uiPriority w:val="99"/>
    <w:semiHidden/>
    <w:rsid w:val="00E94DCD"/>
    <w:rPr>
      <w:rFonts w:ascii="Courier New" w:hAnsi="Courier New"/>
      <w:sz w:val="20"/>
      <w:szCs w:val="20"/>
    </w:rPr>
  </w:style>
  <w:style w:type="character" w:styleId="HTMLKeyboard">
    <w:name w:val="HTML Keyboard"/>
    <w:uiPriority w:val="99"/>
    <w:semiHidden/>
    <w:rsid w:val="00E94DCD"/>
    <w:rPr>
      <w:rFonts w:ascii="Courier New" w:hAnsi="Courier New"/>
      <w:sz w:val="20"/>
      <w:szCs w:val="20"/>
    </w:rPr>
  </w:style>
  <w:style w:type="character" w:styleId="HTMLVariable">
    <w:name w:val="HTML Variable"/>
    <w:uiPriority w:val="99"/>
    <w:semiHidden/>
    <w:rsid w:val="00E94DCD"/>
    <w:rPr>
      <w:i/>
      <w:iCs/>
    </w:rPr>
  </w:style>
  <w:style w:type="paragraph" w:styleId="HTMLPreformatted">
    <w:name w:val="HTML Preformatted"/>
    <w:basedOn w:val="Normal"/>
    <w:link w:val="HTMLPreformattedChar"/>
    <w:uiPriority w:val="99"/>
    <w:semiHidden/>
    <w:rsid w:val="00E94DCD"/>
    <w:rPr>
      <w:rFonts w:ascii="Courier New" w:hAnsi="Courier New"/>
    </w:rPr>
  </w:style>
  <w:style w:type="character" w:customStyle="1" w:styleId="HTMLPreformattedChar">
    <w:name w:val="HTML Preformatted Char"/>
    <w:link w:val="HTMLPreformatted"/>
    <w:uiPriority w:val="99"/>
    <w:semiHidden/>
    <w:rsid w:val="00D44150"/>
    <w:rPr>
      <w:rFonts w:ascii="Courier New" w:hAnsi="Courier New" w:cs="Times New Roman"/>
      <w:sz w:val="20"/>
      <w:szCs w:val="20"/>
    </w:rPr>
  </w:style>
  <w:style w:type="character" w:styleId="HTMLCite">
    <w:name w:val="HTML Cite"/>
    <w:uiPriority w:val="99"/>
    <w:semiHidden/>
    <w:rsid w:val="00E94DCD"/>
    <w:rPr>
      <w:i/>
      <w:iCs/>
    </w:rPr>
  </w:style>
  <w:style w:type="character" w:styleId="Hyperlink">
    <w:name w:val="Hyperlink"/>
    <w:uiPriority w:val="99"/>
    <w:unhideWhenUsed/>
    <w:rsid w:val="00DB58D5"/>
    <w:rPr>
      <w:color w:val="auto"/>
      <w:u w:val="single"/>
    </w:rPr>
  </w:style>
  <w:style w:type="paragraph" w:styleId="Index1">
    <w:name w:val="index 1"/>
    <w:basedOn w:val="Normal"/>
    <w:next w:val="Normal"/>
    <w:autoRedefine/>
    <w:uiPriority w:val="99"/>
    <w:semiHidden/>
    <w:rsid w:val="00E94DCD"/>
    <w:pPr>
      <w:ind w:left="180" w:hanging="180"/>
    </w:pPr>
  </w:style>
  <w:style w:type="paragraph" w:styleId="IndexHeading">
    <w:name w:val="index heading"/>
    <w:basedOn w:val="Normal"/>
    <w:next w:val="Index1"/>
    <w:uiPriority w:val="32"/>
    <w:semiHidden/>
    <w:unhideWhenUsed/>
    <w:rsid w:val="00E94DCD"/>
    <w:rPr>
      <w:b/>
      <w:bCs/>
    </w:rPr>
  </w:style>
  <w:style w:type="paragraph" w:styleId="MessageHeader">
    <w:name w:val="Message Header"/>
    <w:basedOn w:val="Normal"/>
    <w:link w:val="MessageHeaderChar"/>
    <w:uiPriority w:val="99"/>
    <w:semiHidden/>
    <w:rsid w:val="00E94DC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MessageHeaderChar">
    <w:name w:val="Message Header Char"/>
    <w:link w:val="MessageHeader"/>
    <w:uiPriority w:val="99"/>
    <w:semiHidden/>
    <w:rsid w:val="00D44150"/>
    <w:rPr>
      <w:rFonts w:ascii="Arial Narrow" w:hAnsi="Arial Narrow" w:cs="Times New Roman"/>
      <w:sz w:val="24"/>
      <w:shd w:val="pct20" w:color="auto" w:fill="auto"/>
    </w:rPr>
  </w:style>
  <w:style w:type="character" w:styleId="SubtleEmphasis">
    <w:name w:val="Subtle Emphasis"/>
    <w:uiPriority w:val="99"/>
    <w:semiHidden/>
    <w:qFormat/>
    <w:rsid w:val="00703360"/>
    <w:rPr>
      <w:b/>
      <w:iCs/>
      <w:color w:val="auto"/>
    </w:rPr>
  </w:style>
  <w:style w:type="character" w:styleId="SubtleReference">
    <w:name w:val="Subtle Reference"/>
    <w:uiPriority w:val="99"/>
    <w:semiHidden/>
    <w:qFormat/>
    <w:rsid w:val="00E94DCD"/>
    <w:rPr>
      <w:color w:val="auto"/>
      <w:u w:val="single"/>
    </w:rPr>
  </w:style>
  <w:style w:type="paragraph" w:styleId="NormalWeb">
    <w:name w:val="Normal (Web)"/>
    <w:basedOn w:val="Normal"/>
    <w:uiPriority w:val="99"/>
    <w:semiHidden/>
    <w:unhideWhenUsed/>
    <w:rsid w:val="00DB58D5"/>
    <w:pPr>
      <w:spacing w:before="100" w:beforeAutospacing="1" w:after="100" w:afterAutospacing="1" w:line="240" w:lineRule="auto"/>
    </w:pPr>
    <w:rPr>
      <w:rFonts w:ascii="Times New Roman" w:hAnsi="Times New Roman"/>
      <w:sz w:val="24"/>
      <w:szCs w:val="24"/>
      <w:lang w:eastAsia="de-CH"/>
    </w:rPr>
  </w:style>
  <w:style w:type="paragraph" w:styleId="NormalIndent">
    <w:name w:val="Normal Indent"/>
    <w:basedOn w:val="Normal"/>
    <w:uiPriority w:val="99"/>
    <w:semiHidden/>
    <w:rsid w:val="00E94DCD"/>
    <w:pPr>
      <w:ind w:left="454"/>
    </w:pPr>
  </w:style>
  <w:style w:type="table" w:styleId="Table3Deffects1">
    <w:name w:val="Table 3D effects 1"/>
    <w:basedOn w:val="TableNormal"/>
    <w:semiHidden/>
    <w:rsid w:val="00E94DCD"/>
    <w:rPr>
      <w:rFonts w:ascii="Arial" w:hAnsi="Arial"/>
      <w:lang w:eastAsia="de-CH"/>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E94DCD"/>
    <w:rPr>
      <w:rFonts w:ascii="Arial" w:hAnsi="Arial"/>
      <w:lang w:eastAsia="de-CH"/>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E94DCD"/>
    <w:rPr>
      <w:rFonts w:ascii="Arial" w:hAnsi="Arial"/>
      <w:lang w:eastAsia="de-CH"/>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rsid w:val="00E94DCD"/>
    <w:rPr>
      <w:rFonts w:ascii="Arial" w:hAnsi="Arial"/>
      <w:lang w:eastAsia="de-CH"/>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E94DCD"/>
    <w:rPr>
      <w:rFonts w:ascii="Arial" w:hAnsi="Arial"/>
      <w:lang w:eastAsia="de-CH"/>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E94DCD"/>
    <w:rPr>
      <w:rFonts w:ascii="Arial" w:hAnsi="Arial"/>
      <w:color w:val="FFFFFF"/>
      <w:lang w:eastAsia="de-CH"/>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E94DCD"/>
    <w:rPr>
      <w:rFonts w:ascii="Arial" w:hAnsi="Arial"/>
      <w:lang w:eastAsia="de-CH"/>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E94DCD"/>
    <w:rPr>
      <w:rFonts w:ascii="Arial" w:hAnsi="Arial"/>
      <w:lang w:eastAsia="de-CH"/>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E94DCD"/>
    <w:rPr>
      <w:rFonts w:ascii="Arial" w:hAnsi="Arial"/>
      <w:color w:val="000080"/>
      <w:lang w:eastAsia="de-CH"/>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E94DCD"/>
    <w:rPr>
      <w:rFonts w:ascii="Arial" w:hAnsi="Arial"/>
      <w:lang w:eastAsia="de-CH"/>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uiPriority w:val="59"/>
    <w:rsid w:val="00DB58D5"/>
    <w:rPr>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semiHidden/>
    <w:unhideWhenUsed/>
    <w:qFormat/>
    <w:rsid w:val="00E94DCD"/>
    <w:pPr>
      <w:spacing w:after="240" w:line="400" w:lineRule="atLeast"/>
      <w:contextualSpacing/>
      <w:outlineLvl w:val="0"/>
    </w:pPr>
    <w:rPr>
      <w:rFonts w:ascii="Arial Fett" w:hAnsi="Arial Fett"/>
      <w:b/>
      <w:bCs/>
      <w:smallCaps/>
      <w:sz w:val="32"/>
      <w:szCs w:val="32"/>
    </w:rPr>
  </w:style>
  <w:style w:type="character" w:customStyle="1" w:styleId="TitleChar">
    <w:name w:val="Title Char"/>
    <w:link w:val="Title"/>
    <w:uiPriority w:val="1"/>
    <w:semiHidden/>
    <w:rsid w:val="001E1FA7"/>
    <w:rPr>
      <w:rFonts w:ascii="Arial Fett" w:hAnsi="Arial Fett" w:cs="Times New Roman"/>
      <w:b/>
      <w:bCs/>
      <w:smallCaps/>
      <w:sz w:val="32"/>
      <w:szCs w:val="32"/>
    </w:rPr>
  </w:style>
  <w:style w:type="character" w:customStyle="1" w:styleId="Heading1Char">
    <w:name w:val="Heading 1 Char"/>
    <w:link w:val="Heading1"/>
    <w:uiPriority w:val="19"/>
    <w:rsid w:val="002779AB"/>
    <w:rPr>
      <w:rFonts w:asciiTheme="majorHAnsi" w:hAnsiTheme="majorHAnsi" w:cs="Arial"/>
      <w:bCs/>
      <w:sz w:val="28"/>
      <w:szCs w:val="28"/>
      <w:lang w:eastAsia="de-DE"/>
    </w:rPr>
  </w:style>
  <w:style w:type="character" w:customStyle="1" w:styleId="Heading2Char">
    <w:name w:val="Heading 2 Char"/>
    <w:link w:val="Heading2"/>
    <w:uiPriority w:val="19"/>
    <w:rsid w:val="002779AB"/>
    <w:rPr>
      <w:rFonts w:asciiTheme="majorHAnsi" w:hAnsiTheme="majorHAnsi" w:cs="Arial"/>
      <w:bCs/>
      <w:sz w:val="24"/>
      <w:szCs w:val="24"/>
      <w:lang w:eastAsia="de-DE"/>
    </w:rPr>
  </w:style>
  <w:style w:type="character" w:customStyle="1" w:styleId="Heading3Char">
    <w:name w:val="Heading 3 Char"/>
    <w:link w:val="Heading3"/>
    <w:uiPriority w:val="19"/>
    <w:rsid w:val="002779AB"/>
    <w:rPr>
      <w:rFonts w:asciiTheme="majorHAnsi" w:hAnsiTheme="majorHAnsi" w:cs="Arial"/>
      <w:szCs w:val="18"/>
      <w:lang w:eastAsia="de-DE"/>
    </w:rPr>
  </w:style>
  <w:style w:type="character" w:customStyle="1" w:styleId="Heading4Char">
    <w:name w:val="Heading 4 Char"/>
    <w:link w:val="Heading4"/>
    <w:uiPriority w:val="19"/>
    <w:rsid w:val="009E5A33"/>
    <w:rPr>
      <w:rFonts w:cs="Arial"/>
      <w:szCs w:val="18"/>
      <w:lang w:eastAsia="de-DE"/>
    </w:rPr>
  </w:style>
  <w:style w:type="character" w:customStyle="1" w:styleId="Heading5Char">
    <w:name w:val="Heading 5 Char"/>
    <w:link w:val="Heading5"/>
    <w:uiPriority w:val="19"/>
    <w:rsid w:val="000B2869"/>
    <w:rPr>
      <w:rFonts w:cs="Arial"/>
      <w:szCs w:val="18"/>
      <w:lang w:eastAsia="de-DE"/>
    </w:rPr>
  </w:style>
  <w:style w:type="character" w:customStyle="1" w:styleId="Heading6Char">
    <w:name w:val="Heading 6 Char"/>
    <w:link w:val="Heading6"/>
    <w:uiPriority w:val="19"/>
    <w:semiHidden/>
    <w:rsid w:val="001E1FA7"/>
    <w:rPr>
      <w:bCs/>
      <w:sz w:val="18"/>
      <w:lang w:eastAsia="de-DE"/>
    </w:rPr>
  </w:style>
  <w:style w:type="character" w:customStyle="1" w:styleId="Heading7Char">
    <w:name w:val="Heading 7 Char"/>
    <w:link w:val="Heading7"/>
    <w:uiPriority w:val="19"/>
    <w:semiHidden/>
    <w:rsid w:val="001E1FA7"/>
    <w:rPr>
      <w:sz w:val="18"/>
      <w:szCs w:val="24"/>
      <w:lang w:eastAsia="de-DE"/>
    </w:rPr>
  </w:style>
  <w:style w:type="character" w:customStyle="1" w:styleId="Heading8Char">
    <w:name w:val="Heading 8 Char"/>
    <w:link w:val="Heading8"/>
    <w:uiPriority w:val="19"/>
    <w:semiHidden/>
    <w:rsid w:val="001E1FA7"/>
    <w:rPr>
      <w:iCs/>
      <w:sz w:val="18"/>
      <w:szCs w:val="24"/>
      <w:lang w:eastAsia="de-DE"/>
    </w:rPr>
  </w:style>
  <w:style w:type="character" w:customStyle="1" w:styleId="Heading9Char">
    <w:name w:val="Heading 9 Char"/>
    <w:link w:val="Heading9"/>
    <w:uiPriority w:val="19"/>
    <w:semiHidden/>
    <w:rsid w:val="001E1FA7"/>
    <w:rPr>
      <w:sz w:val="18"/>
      <w:lang w:eastAsia="de-DE"/>
    </w:rPr>
  </w:style>
  <w:style w:type="paragraph" w:styleId="Subtitle">
    <w:name w:val="Subtitle"/>
    <w:basedOn w:val="Normal"/>
    <w:next w:val="Normal"/>
    <w:link w:val="SubtitleChar"/>
    <w:uiPriority w:val="2"/>
    <w:semiHidden/>
    <w:qFormat/>
    <w:rsid w:val="00E94DCD"/>
    <w:pPr>
      <w:spacing w:after="60"/>
      <w:contextualSpacing/>
      <w:outlineLvl w:val="1"/>
    </w:pPr>
    <w:rPr>
      <w:sz w:val="24"/>
    </w:rPr>
  </w:style>
  <w:style w:type="character" w:customStyle="1" w:styleId="SubtitleChar">
    <w:name w:val="Subtitle Char"/>
    <w:link w:val="Subtitle"/>
    <w:uiPriority w:val="2"/>
    <w:semiHidden/>
    <w:rsid w:val="001E1FA7"/>
    <w:rPr>
      <w:rFonts w:ascii="Arial Narrow" w:hAnsi="Arial Narrow" w:cs="Times New Roman"/>
      <w:sz w:val="24"/>
    </w:rPr>
  </w:style>
  <w:style w:type="paragraph" w:styleId="TOC1">
    <w:name w:val="toc 1"/>
    <w:basedOn w:val="Normal"/>
    <w:next w:val="Normal"/>
    <w:uiPriority w:val="39"/>
    <w:unhideWhenUsed/>
    <w:rsid w:val="00A32015"/>
    <w:pPr>
      <w:ind w:left="454" w:right="284" w:hanging="454"/>
    </w:pPr>
    <w:rPr>
      <w:rFonts w:asciiTheme="majorHAnsi" w:hAnsiTheme="majorHAnsi"/>
    </w:rPr>
  </w:style>
  <w:style w:type="paragraph" w:styleId="TOC2">
    <w:name w:val="toc 2"/>
    <w:basedOn w:val="Normal"/>
    <w:next w:val="Normal"/>
    <w:uiPriority w:val="39"/>
    <w:unhideWhenUsed/>
    <w:rsid w:val="00A32015"/>
    <w:pPr>
      <w:ind w:left="1134" w:right="284" w:hanging="680"/>
    </w:pPr>
  </w:style>
  <w:style w:type="paragraph" w:styleId="TOC3">
    <w:name w:val="toc 3"/>
    <w:basedOn w:val="Normal"/>
    <w:next w:val="Normal"/>
    <w:uiPriority w:val="39"/>
    <w:unhideWhenUsed/>
    <w:rsid w:val="00A32015"/>
    <w:pPr>
      <w:ind w:left="1134" w:right="284" w:hanging="680"/>
    </w:pPr>
  </w:style>
  <w:style w:type="paragraph" w:styleId="TOC4">
    <w:name w:val="toc 4"/>
    <w:basedOn w:val="Normal"/>
    <w:next w:val="Normal"/>
    <w:autoRedefine/>
    <w:uiPriority w:val="30"/>
    <w:semiHidden/>
    <w:rsid w:val="00DB58D5"/>
    <w:pPr>
      <w:ind w:left="737" w:hanging="737"/>
    </w:pPr>
  </w:style>
  <w:style w:type="paragraph" w:styleId="TOC5">
    <w:name w:val="toc 5"/>
    <w:basedOn w:val="Normal"/>
    <w:next w:val="Normal"/>
    <w:autoRedefine/>
    <w:uiPriority w:val="30"/>
    <w:semiHidden/>
    <w:rsid w:val="00DB58D5"/>
    <w:pPr>
      <w:ind w:left="1009" w:hanging="1009"/>
    </w:pPr>
  </w:style>
  <w:style w:type="paragraph" w:styleId="TOC6">
    <w:name w:val="toc 6"/>
    <w:basedOn w:val="Normal"/>
    <w:next w:val="Normal"/>
    <w:autoRedefine/>
    <w:uiPriority w:val="30"/>
    <w:semiHidden/>
    <w:rsid w:val="00DB58D5"/>
    <w:pPr>
      <w:ind w:left="1151" w:hanging="1151"/>
    </w:pPr>
  </w:style>
  <w:style w:type="paragraph" w:styleId="TOC7">
    <w:name w:val="toc 7"/>
    <w:basedOn w:val="Normal"/>
    <w:next w:val="Normal"/>
    <w:autoRedefine/>
    <w:uiPriority w:val="30"/>
    <w:semiHidden/>
    <w:rsid w:val="00DB58D5"/>
    <w:pPr>
      <w:ind w:left="1298" w:hanging="1298"/>
    </w:pPr>
  </w:style>
  <w:style w:type="paragraph" w:styleId="TOC8">
    <w:name w:val="toc 8"/>
    <w:basedOn w:val="Normal"/>
    <w:next w:val="Normal"/>
    <w:autoRedefine/>
    <w:uiPriority w:val="30"/>
    <w:semiHidden/>
    <w:rsid w:val="00DB58D5"/>
    <w:pPr>
      <w:ind w:left="1440" w:hanging="1440"/>
    </w:pPr>
  </w:style>
  <w:style w:type="paragraph" w:styleId="TOC9">
    <w:name w:val="toc 9"/>
    <w:basedOn w:val="Normal"/>
    <w:next w:val="Normal"/>
    <w:autoRedefine/>
    <w:uiPriority w:val="30"/>
    <w:semiHidden/>
    <w:rsid w:val="00DB58D5"/>
    <w:pPr>
      <w:ind w:left="1582" w:hanging="1582"/>
    </w:pPr>
  </w:style>
  <w:style w:type="character" w:styleId="IntenseEmphasis">
    <w:name w:val="Intense Emphasis"/>
    <w:uiPriority w:val="50"/>
    <w:qFormat/>
    <w:rsid w:val="001665A6"/>
    <w:rPr>
      <w:rFonts w:asciiTheme="majorHAnsi" w:hAnsiTheme="majorHAnsi"/>
      <w:b w:val="0"/>
      <w:bCs/>
      <w:iCs/>
      <w:caps/>
      <w:color w:val="66CC33" w:themeColor="accent1"/>
    </w:rPr>
  </w:style>
  <w:style w:type="paragraph" w:styleId="ListParagraph">
    <w:name w:val="List Paragraph"/>
    <w:basedOn w:val="Normal"/>
    <w:uiPriority w:val="99"/>
    <w:semiHidden/>
    <w:unhideWhenUsed/>
    <w:rsid w:val="00DB58D5"/>
    <w:pPr>
      <w:ind w:left="720"/>
      <w:contextualSpacing/>
    </w:pPr>
  </w:style>
  <w:style w:type="paragraph" w:styleId="ListContinue">
    <w:name w:val="List Continue"/>
    <w:basedOn w:val="Normal"/>
    <w:uiPriority w:val="99"/>
    <w:semiHidden/>
    <w:unhideWhenUsed/>
    <w:rsid w:val="003E3705"/>
    <w:pPr>
      <w:spacing w:line="270" w:lineRule="atLeast"/>
      <w:ind w:left="1191" w:right="2552" w:hanging="794"/>
      <w:contextualSpacing/>
    </w:pPr>
    <w:rPr>
      <w:rFonts w:ascii="ATP Univers" w:hAnsi="ATP Univers"/>
      <w:lang w:val="de-DE"/>
    </w:rPr>
  </w:style>
  <w:style w:type="paragraph" w:styleId="ListContinue2">
    <w:name w:val="List Continue 2"/>
    <w:basedOn w:val="Normal"/>
    <w:uiPriority w:val="99"/>
    <w:semiHidden/>
    <w:unhideWhenUsed/>
    <w:rsid w:val="003E3705"/>
    <w:pPr>
      <w:tabs>
        <w:tab w:val="left" w:pos="397"/>
      </w:tabs>
      <w:spacing w:line="270" w:lineRule="atLeast"/>
      <w:ind w:left="1985" w:right="2552" w:hanging="1191"/>
      <w:contextualSpacing/>
    </w:pPr>
    <w:rPr>
      <w:rFonts w:ascii="ATP Univers" w:hAnsi="ATP Univers"/>
      <w:lang w:val="de-DE"/>
    </w:rPr>
  </w:style>
  <w:style w:type="paragraph" w:customStyle="1" w:styleId="FusszeilePfad">
    <w:name w:val="Fusszeile Pfad"/>
    <w:basedOn w:val="Footer"/>
    <w:uiPriority w:val="9"/>
    <w:rsid w:val="00DB58D5"/>
    <w:pPr>
      <w:jc w:val="center"/>
    </w:pPr>
  </w:style>
  <w:style w:type="paragraph" w:customStyle="1" w:styleId="BulletpointsLevel1">
    <w:name w:val="Bulletpoints Level 1"/>
    <w:basedOn w:val="Normal"/>
    <w:uiPriority w:val="3"/>
    <w:qFormat/>
    <w:rsid w:val="00E37B1D"/>
    <w:pPr>
      <w:numPr>
        <w:numId w:val="5"/>
      </w:numPr>
      <w:tabs>
        <w:tab w:val="right" w:pos="454"/>
      </w:tabs>
      <w:spacing w:before="60"/>
    </w:pPr>
  </w:style>
  <w:style w:type="paragraph" w:customStyle="1" w:styleId="BulletpointsLevel2">
    <w:name w:val="Bulletpoints Level 2"/>
    <w:basedOn w:val="Normal"/>
    <w:uiPriority w:val="4"/>
    <w:qFormat/>
    <w:rsid w:val="00DB58D5"/>
    <w:pPr>
      <w:numPr>
        <w:ilvl w:val="1"/>
        <w:numId w:val="5"/>
      </w:numPr>
    </w:pPr>
  </w:style>
  <w:style w:type="paragraph" w:customStyle="1" w:styleId="Lettering">
    <w:name w:val="Lettering"/>
    <w:basedOn w:val="Normal"/>
    <w:uiPriority w:val="5"/>
    <w:qFormat/>
    <w:rsid w:val="00DB58D5"/>
    <w:pPr>
      <w:numPr>
        <w:numId w:val="11"/>
      </w:numPr>
      <w:spacing w:before="60"/>
    </w:pPr>
  </w:style>
  <w:style w:type="paragraph" w:customStyle="1" w:styleId="noBulletpoint">
    <w:name w:val="noBulletpoint"/>
    <w:basedOn w:val="Normal"/>
    <w:uiPriority w:val="4"/>
    <w:qFormat/>
    <w:rsid w:val="00DB58D5"/>
    <w:pPr>
      <w:numPr>
        <w:ilvl w:val="2"/>
        <w:numId w:val="5"/>
      </w:numPr>
      <w:spacing w:before="60"/>
    </w:pPr>
  </w:style>
  <w:style w:type="paragraph" w:customStyle="1" w:styleId="Numbering">
    <w:name w:val="Numbering"/>
    <w:basedOn w:val="Normal"/>
    <w:uiPriority w:val="6"/>
    <w:qFormat/>
    <w:rsid w:val="00DB58D5"/>
    <w:pPr>
      <w:numPr>
        <w:numId w:val="10"/>
      </w:numPr>
      <w:spacing w:before="60"/>
    </w:pPr>
  </w:style>
  <w:style w:type="paragraph" w:customStyle="1" w:styleId="SensirionSubtitle">
    <w:name w:val="Sensirion Subtitle"/>
    <w:basedOn w:val="Normal"/>
    <w:uiPriority w:val="2"/>
    <w:qFormat/>
    <w:rsid w:val="002779AB"/>
    <w:pPr>
      <w:spacing w:line="260" w:lineRule="exact"/>
      <w:contextualSpacing/>
    </w:pPr>
    <w:rPr>
      <w:rFonts w:asciiTheme="majorHAnsi" w:hAnsiTheme="majorHAnsi"/>
      <w:lang w:eastAsia="de-DE"/>
    </w:rPr>
  </w:style>
  <w:style w:type="paragraph" w:customStyle="1" w:styleId="SensirionTitle">
    <w:name w:val="Sensirion Title"/>
    <w:basedOn w:val="Normal"/>
    <w:uiPriority w:val="1"/>
    <w:qFormat/>
    <w:rsid w:val="002779AB"/>
    <w:pPr>
      <w:spacing w:line="320" w:lineRule="exact"/>
      <w:contextualSpacing/>
    </w:pPr>
    <w:rPr>
      <w:rFonts w:asciiTheme="majorHAnsi" w:hAnsiTheme="majorHAnsi"/>
      <w:sz w:val="28"/>
    </w:rPr>
  </w:style>
  <w:style w:type="paragraph" w:customStyle="1" w:styleId="Marginale">
    <w:name w:val="Marginale"/>
    <w:basedOn w:val="Normal"/>
    <w:uiPriority w:val="7"/>
    <w:qFormat/>
    <w:rsid w:val="001665A6"/>
    <w:pPr>
      <w:framePr w:w="2268" w:hSpace="567" w:wrap="around" w:vAnchor="text" w:hAnchor="text" w:xAlign="right" w:y="1"/>
    </w:pPr>
    <w:rPr>
      <w:color w:val="66CC33" w:themeColor="accent1"/>
    </w:rPr>
  </w:style>
  <w:style w:type="paragraph" w:customStyle="1" w:styleId="MarginaleText">
    <w:name w:val="Marginale Text"/>
    <w:basedOn w:val="Normal"/>
    <w:uiPriority w:val="8"/>
    <w:qFormat/>
    <w:rsid w:val="00DB58D5"/>
    <w:pPr>
      <w:ind w:right="2835"/>
    </w:pPr>
  </w:style>
  <w:style w:type="paragraph" w:styleId="TableofFigures">
    <w:name w:val="table of figures"/>
    <w:basedOn w:val="Normal"/>
    <w:next w:val="Normal"/>
    <w:uiPriority w:val="99"/>
    <w:unhideWhenUsed/>
    <w:rsid w:val="00DB58D5"/>
    <w:pPr>
      <w:ind w:right="284"/>
    </w:pPr>
  </w:style>
  <w:style w:type="paragraph" w:styleId="Quote">
    <w:name w:val="Quote"/>
    <w:basedOn w:val="Normal"/>
    <w:next w:val="Normal"/>
    <w:link w:val="QuoteChar"/>
    <w:uiPriority w:val="99"/>
    <w:semiHidden/>
    <w:rsid w:val="00DB58D5"/>
    <w:rPr>
      <w:i/>
      <w:iCs/>
      <w:color w:val="000000"/>
    </w:rPr>
  </w:style>
  <w:style w:type="character" w:customStyle="1" w:styleId="QuoteChar">
    <w:name w:val="Quote Char"/>
    <w:link w:val="Quote"/>
    <w:uiPriority w:val="99"/>
    <w:semiHidden/>
    <w:rsid w:val="00D44150"/>
    <w:rPr>
      <w:rFonts w:ascii="Arial Narrow" w:hAnsi="Arial Narrow" w:cs="Times New Roman"/>
      <w:i/>
      <w:iCs/>
      <w:color w:val="000000"/>
    </w:rPr>
  </w:style>
  <w:style w:type="paragraph" w:styleId="EndnoteText">
    <w:name w:val="endnote text"/>
    <w:basedOn w:val="Normal"/>
    <w:link w:val="EndnoteTextChar"/>
    <w:uiPriority w:val="49"/>
    <w:semiHidden/>
    <w:unhideWhenUsed/>
    <w:rsid w:val="00DB58D5"/>
  </w:style>
  <w:style w:type="character" w:customStyle="1" w:styleId="EndnoteTextChar">
    <w:name w:val="Endnote Text Char"/>
    <w:link w:val="EndnoteText"/>
    <w:uiPriority w:val="49"/>
    <w:semiHidden/>
    <w:rsid w:val="001E1FA7"/>
    <w:rPr>
      <w:rFonts w:ascii="Arial Narrow" w:hAnsi="Arial Narrow" w:cs="Times New Roman"/>
      <w:sz w:val="20"/>
    </w:rPr>
  </w:style>
  <w:style w:type="character" w:styleId="EndnoteReference">
    <w:name w:val="endnote reference"/>
    <w:uiPriority w:val="49"/>
    <w:semiHidden/>
    <w:unhideWhenUsed/>
    <w:rsid w:val="00DB58D5"/>
    <w:rPr>
      <w:color w:val="auto"/>
      <w:vertAlign w:val="superscript"/>
    </w:rPr>
  </w:style>
  <w:style w:type="paragraph" w:styleId="FootnoteText">
    <w:name w:val="footnote text"/>
    <w:basedOn w:val="Normal"/>
    <w:link w:val="FootnoteTextChar"/>
    <w:uiPriority w:val="49"/>
    <w:semiHidden/>
    <w:unhideWhenUsed/>
    <w:rsid w:val="00DB58D5"/>
  </w:style>
  <w:style w:type="character" w:customStyle="1" w:styleId="FootnoteTextChar">
    <w:name w:val="Footnote Text Char"/>
    <w:link w:val="FootnoteText"/>
    <w:uiPriority w:val="49"/>
    <w:semiHidden/>
    <w:rsid w:val="001E1FA7"/>
    <w:rPr>
      <w:rFonts w:ascii="Arial Narrow" w:hAnsi="Arial Narrow" w:cs="Times New Roman"/>
      <w:sz w:val="20"/>
    </w:rPr>
  </w:style>
  <w:style w:type="character" w:styleId="FootnoteReference">
    <w:name w:val="footnote reference"/>
    <w:uiPriority w:val="49"/>
    <w:semiHidden/>
    <w:unhideWhenUsed/>
    <w:rsid w:val="00DB58D5"/>
    <w:rPr>
      <w:color w:val="auto"/>
      <w:vertAlign w:val="superscript"/>
    </w:rPr>
  </w:style>
  <w:style w:type="table" w:styleId="LightShading-Accent2">
    <w:name w:val="Light Shading Accent 2"/>
    <w:aliases w:val="SEN: Tabelle warm grey"/>
    <w:basedOn w:val="TableNormal"/>
    <w:uiPriority w:val="60"/>
    <w:rsid w:val="00DB58D5"/>
    <w:rPr>
      <w:lang w:eastAsia="de-CH"/>
    </w:rPr>
    <w:tblPr>
      <w:tblStyleRowBandSize w:val="1"/>
      <w:tblStyleColBandSize w:val="1"/>
      <w:tblBorders>
        <w:top w:val="single" w:sz="8" w:space="0" w:color="C8BBBB"/>
        <w:bottom w:val="single" w:sz="8" w:space="0" w:color="C8BBBB"/>
      </w:tblBorders>
      <w:tblCellMar>
        <w:top w:w="28" w:type="dxa"/>
        <w:left w:w="0" w:type="dxa"/>
        <w:bottom w:w="28" w:type="dxa"/>
        <w:right w:w="0" w:type="dxa"/>
      </w:tblCellMar>
    </w:tblPr>
    <w:tblStylePr w:type="firstRow">
      <w:pPr>
        <w:spacing w:before="0" w:after="0" w:line="240" w:lineRule="auto"/>
      </w:pPr>
      <w:rPr>
        <w:b/>
        <w:bCs/>
      </w:rPr>
      <w:tblPr/>
      <w:tcPr>
        <w:tcBorders>
          <w:top w:val="single" w:sz="8" w:space="0" w:color="C8BBBB"/>
          <w:left w:val="nil"/>
          <w:bottom w:val="single" w:sz="8" w:space="0" w:color="C8BBBB"/>
          <w:right w:val="nil"/>
          <w:insideH w:val="nil"/>
          <w:insideV w:val="nil"/>
        </w:tcBorders>
      </w:tcPr>
    </w:tblStylePr>
    <w:tblStylePr w:type="lastRow">
      <w:pPr>
        <w:spacing w:before="0" w:after="0" w:line="240" w:lineRule="auto"/>
      </w:pPr>
      <w:rPr>
        <w:b w:val="0"/>
        <w:bCs/>
      </w:rPr>
      <w:tblPr/>
      <w:tcPr>
        <w:tcBorders>
          <w:top w:val="nil"/>
          <w:left w:val="nil"/>
          <w:bottom w:val="single" w:sz="8" w:space="0" w:color="C8BBBB"/>
          <w:right w:val="nil"/>
          <w:insideH w:val="nil"/>
          <w:insideV w:val="nil"/>
        </w:tcBorders>
      </w:tcPr>
    </w:tblStylePr>
    <w:tblStylePr w:type="firstCol">
      <w:rPr>
        <w:b w:val="0"/>
        <w:bCs/>
      </w:rPr>
    </w:tblStylePr>
    <w:tblStylePr w:type="lastCol">
      <w:rPr>
        <w:b/>
        <w:bCs/>
      </w:rPr>
    </w:tblStylePr>
    <w:tblStylePr w:type="band1Horz">
      <w:tblPr/>
      <w:tcPr>
        <w:tcBorders>
          <w:left w:val="nil"/>
          <w:right w:val="nil"/>
          <w:insideH w:val="nil"/>
          <w:insideV w:val="nil"/>
        </w:tcBorders>
        <w:shd w:val="clear" w:color="auto" w:fill="FAF8F8"/>
      </w:tcPr>
    </w:tblStylePr>
  </w:style>
  <w:style w:type="paragraph" w:styleId="TOCHeading">
    <w:name w:val="TOC Heading"/>
    <w:basedOn w:val="Heading1"/>
    <w:next w:val="Normal"/>
    <w:uiPriority w:val="39"/>
    <w:rsid w:val="00DB58D5"/>
    <w:pPr>
      <w:keepLines/>
      <w:numPr>
        <w:numId w:val="0"/>
      </w:numPr>
      <w:spacing w:before="240" w:line="240" w:lineRule="auto"/>
      <w:outlineLvl w:val="9"/>
    </w:pPr>
    <w:rPr>
      <w:rFonts w:cs="Times New Roman"/>
      <w:bCs w:val="0"/>
    </w:rPr>
  </w:style>
  <w:style w:type="table" w:styleId="MediumList1-Accent2">
    <w:name w:val="Medium List 1 Accent 2"/>
    <w:basedOn w:val="TableNormal"/>
    <w:uiPriority w:val="65"/>
    <w:rsid w:val="00DB58D5"/>
    <w:rPr>
      <w:color w:val="000000"/>
      <w:lang w:eastAsia="de-CH"/>
    </w:rPr>
    <w:tblPr>
      <w:tblStyleRowBandSize w:val="1"/>
      <w:tblStyleColBandSize w:val="1"/>
      <w:tblBorders>
        <w:top w:val="single" w:sz="8" w:space="0" w:color="EBE6E6"/>
        <w:bottom w:val="single" w:sz="8" w:space="0" w:color="EBE6E6"/>
      </w:tblBorders>
    </w:tblPr>
    <w:tblStylePr w:type="firstRow">
      <w:rPr>
        <w:rFonts w:ascii="ATP Univers" w:eastAsia="Times New Roman" w:hAnsi="ATP Univers" w:cs="Times New Roman"/>
      </w:rPr>
      <w:tblPr/>
      <w:tcPr>
        <w:tcBorders>
          <w:top w:val="nil"/>
          <w:bottom w:val="single" w:sz="8" w:space="0" w:color="EBE6E6"/>
        </w:tcBorders>
      </w:tcPr>
    </w:tblStylePr>
    <w:tblStylePr w:type="lastRow">
      <w:rPr>
        <w:b/>
        <w:bCs/>
        <w:color w:val="000000"/>
      </w:rPr>
      <w:tblPr/>
      <w:tcPr>
        <w:tcBorders>
          <w:top w:val="single" w:sz="8" w:space="0" w:color="EBE6E6"/>
          <w:bottom w:val="single" w:sz="8" w:space="0" w:color="EBE6E6"/>
        </w:tcBorders>
      </w:tcPr>
    </w:tblStylePr>
    <w:tblStylePr w:type="firstCol">
      <w:rPr>
        <w:b/>
        <w:bCs/>
      </w:rPr>
    </w:tblStylePr>
    <w:tblStylePr w:type="lastCol">
      <w:rPr>
        <w:b/>
        <w:bCs/>
      </w:rPr>
      <w:tblPr/>
      <w:tcPr>
        <w:tcBorders>
          <w:top w:val="single" w:sz="8" w:space="0" w:color="EBE6E6"/>
          <w:bottom w:val="single" w:sz="8" w:space="0" w:color="EBE6E6"/>
        </w:tcBorders>
      </w:tcPr>
    </w:tblStylePr>
    <w:tblStylePr w:type="band1Vert">
      <w:tblPr/>
      <w:tcPr>
        <w:shd w:val="clear" w:color="auto" w:fill="FAF8F8"/>
      </w:tcPr>
    </w:tblStylePr>
    <w:tblStylePr w:type="band1Horz">
      <w:tblPr/>
      <w:tcPr>
        <w:shd w:val="clear" w:color="auto" w:fill="FAF8F8"/>
      </w:tcPr>
    </w:tblStylePr>
  </w:style>
  <w:style w:type="character" w:styleId="PageNumber">
    <w:name w:val="page number"/>
    <w:basedOn w:val="DefaultParagraphFont"/>
    <w:uiPriority w:val="15"/>
    <w:semiHidden/>
    <w:rsid w:val="00DB58D5"/>
  </w:style>
  <w:style w:type="numbering" w:customStyle="1" w:styleId="SensirionListealt">
    <w:name w:val="Sensirion Liste alt"/>
    <w:uiPriority w:val="99"/>
    <w:rsid w:val="00DB58D5"/>
    <w:pPr>
      <w:numPr>
        <w:numId w:val="3"/>
      </w:numPr>
    </w:pPr>
  </w:style>
  <w:style w:type="paragraph" w:styleId="BalloonText">
    <w:name w:val="Balloon Text"/>
    <w:basedOn w:val="Normal"/>
    <w:link w:val="BalloonTextChar"/>
    <w:uiPriority w:val="99"/>
    <w:semiHidden/>
    <w:unhideWhenUsed/>
    <w:rsid w:val="00DB58D5"/>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D44150"/>
    <w:rPr>
      <w:rFonts w:ascii="Tahoma" w:hAnsi="Tahoma" w:cs="Tahoma"/>
      <w:sz w:val="16"/>
      <w:szCs w:val="16"/>
    </w:rPr>
  </w:style>
  <w:style w:type="paragraph" w:styleId="ListBullet">
    <w:name w:val="List Bullet"/>
    <w:basedOn w:val="Normal"/>
    <w:uiPriority w:val="99"/>
    <w:unhideWhenUsed/>
    <w:rsid w:val="00C3756F"/>
    <w:pPr>
      <w:numPr>
        <w:ilvl w:val="3"/>
        <w:numId w:val="5"/>
      </w:numPr>
      <w:spacing w:before="60"/>
      <w:contextualSpacing/>
    </w:pPr>
  </w:style>
  <w:style w:type="character" w:styleId="UnresolvedMention">
    <w:name w:val="Unresolved Mention"/>
    <w:basedOn w:val="DefaultParagraphFont"/>
    <w:uiPriority w:val="99"/>
    <w:semiHidden/>
    <w:unhideWhenUsed/>
    <w:rsid w:val="00840AA5"/>
    <w:rPr>
      <w:color w:val="605E5C"/>
      <w:shd w:val="clear" w:color="auto" w:fill="E1DFDD"/>
    </w:rPr>
  </w:style>
  <w:style w:type="character" w:styleId="Strong">
    <w:name w:val="Strong"/>
    <w:basedOn w:val="DefaultParagraphFont"/>
    <w:uiPriority w:val="49"/>
    <w:unhideWhenUsed/>
    <w:qFormat/>
    <w:rsid w:val="001E282A"/>
    <w:rPr>
      <w:rFonts w:asciiTheme="majorHAnsi" w:hAnsiTheme="majorHAnsi"/>
      <w:b w:val="0"/>
      <w:bCs/>
    </w:rPr>
  </w:style>
  <w:style w:type="numbering" w:customStyle="1" w:styleId="SensirionListBulletPoints">
    <w:name w:val="Sensirion List Bullet Points"/>
    <w:uiPriority w:val="99"/>
    <w:rsid w:val="00C3756F"/>
    <w:pPr>
      <w:numPr>
        <w:numId w:val="5"/>
      </w:numPr>
    </w:pPr>
  </w:style>
  <w:style w:type="numbering" w:customStyle="1" w:styleId="SensirionList123Heading">
    <w:name w:val="Sensirion List 123 Heading"/>
    <w:uiPriority w:val="99"/>
    <w:rsid w:val="00A93798"/>
    <w:pPr>
      <w:numPr>
        <w:numId w:val="7"/>
      </w:numPr>
    </w:pPr>
  </w:style>
  <w:style w:type="numbering" w:customStyle="1" w:styleId="SensirionList123Numbering">
    <w:name w:val="Sensirion List 123 Numbering"/>
    <w:uiPriority w:val="99"/>
    <w:rsid w:val="000903CE"/>
    <w:pPr>
      <w:numPr>
        <w:numId w:val="10"/>
      </w:numPr>
    </w:pPr>
  </w:style>
  <w:style w:type="numbering" w:customStyle="1" w:styleId="SensirionListabcLettering">
    <w:name w:val="Sensirion List abc Lettering"/>
    <w:uiPriority w:val="99"/>
    <w:rsid w:val="000903CE"/>
    <w:pPr>
      <w:numPr>
        <w:numId w:val="11"/>
      </w:numPr>
    </w:pPr>
  </w:style>
  <w:style w:type="character" w:styleId="CommentReference">
    <w:name w:val="annotation reference"/>
    <w:basedOn w:val="DefaultParagraphFont"/>
    <w:uiPriority w:val="99"/>
    <w:semiHidden/>
    <w:unhideWhenUsed/>
    <w:rsid w:val="000111C6"/>
    <w:rPr>
      <w:sz w:val="16"/>
      <w:szCs w:val="16"/>
    </w:rPr>
  </w:style>
  <w:style w:type="paragraph" w:styleId="CommentText">
    <w:name w:val="annotation text"/>
    <w:basedOn w:val="Normal"/>
    <w:link w:val="CommentTextChar"/>
    <w:uiPriority w:val="99"/>
    <w:unhideWhenUsed/>
    <w:rsid w:val="000111C6"/>
    <w:pPr>
      <w:spacing w:line="240" w:lineRule="auto"/>
    </w:pPr>
  </w:style>
  <w:style w:type="character" w:customStyle="1" w:styleId="CommentTextChar">
    <w:name w:val="Comment Text Char"/>
    <w:basedOn w:val="DefaultParagraphFont"/>
    <w:link w:val="CommentText"/>
    <w:uiPriority w:val="99"/>
    <w:rsid w:val="000111C6"/>
  </w:style>
  <w:style w:type="paragraph" w:styleId="CommentSubject">
    <w:name w:val="annotation subject"/>
    <w:basedOn w:val="CommentText"/>
    <w:next w:val="CommentText"/>
    <w:link w:val="CommentSubjectChar"/>
    <w:uiPriority w:val="99"/>
    <w:semiHidden/>
    <w:unhideWhenUsed/>
    <w:rsid w:val="000111C6"/>
    <w:rPr>
      <w:b/>
      <w:bCs/>
    </w:rPr>
  </w:style>
  <w:style w:type="character" w:customStyle="1" w:styleId="CommentSubjectChar">
    <w:name w:val="Comment Subject Char"/>
    <w:basedOn w:val="CommentTextChar"/>
    <w:link w:val="CommentSubject"/>
    <w:uiPriority w:val="99"/>
    <w:semiHidden/>
    <w:rsid w:val="000111C6"/>
    <w:rPr>
      <w:b/>
      <w:bCs/>
    </w:rPr>
  </w:style>
  <w:style w:type="paragraph" w:styleId="Revision">
    <w:name w:val="Revision"/>
    <w:hidden/>
    <w:uiPriority w:val="99"/>
    <w:semiHidden/>
    <w:rsid w:val="00E94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813493">
      <w:bodyDiv w:val="1"/>
      <w:marLeft w:val="0"/>
      <w:marRight w:val="0"/>
      <w:marTop w:val="0"/>
      <w:marBottom w:val="0"/>
      <w:divBdr>
        <w:top w:val="none" w:sz="0" w:space="0" w:color="auto"/>
        <w:left w:val="none" w:sz="0" w:space="0" w:color="auto"/>
        <w:bottom w:val="none" w:sz="0" w:space="0" w:color="auto"/>
        <w:right w:val="none" w:sz="0" w:space="0" w:color="auto"/>
      </w:divBdr>
    </w:div>
    <w:div w:id="1008488629">
      <w:bodyDiv w:val="1"/>
      <w:marLeft w:val="0"/>
      <w:marRight w:val="0"/>
      <w:marTop w:val="0"/>
      <w:marBottom w:val="0"/>
      <w:divBdr>
        <w:top w:val="none" w:sz="0" w:space="0" w:color="auto"/>
        <w:left w:val="none" w:sz="0" w:space="0" w:color="auto"/>
        <w:bottom w:val="none" w:sz="0" w:space="0" w:color="auto"/>
        <w:right w:val="none" w:sz="0" w:space="0" w:color="auto"/>
      </w:divBdr>
    </w:div>
    <w:div w:id="189871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ensirion.com"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ensirion.com/company/investor-relations/results-repor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ttendee.gotowebinar.com/register/6205132807479845206?source=pr"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ensirion.com/additional-performance-measur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thurnherr\Downloads\Sensirion_2025_Full_Year_Results_MediaRelease_EN.dotx" TargetMode="External"/></Relationships>
</file>

<file path=word/theme/theme1.xml><?xml version="1.0" encoding="utf-8"?>
<a:theme xmlns:a="http://schemas.openxmlformats.org/drawingml/2006/main" name="Sensirion">
  <a:themeElements>
    <a:clrScheme name="Sensirion Colors">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fontScheme name="Sensirion Fonts">
      <a:majorFont>
        <a:latin typeface="Segoe UI Semibold"/>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raClrScheme>
      <a:clrScheme name="Sensirion">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clrMap bg1="lt1" tx1="dk1" bg2="lt2" tx2="dk2" accent1="accent1" accent2="accent2" accent3="accent3" accent4="accent4" accent5="accent5" accent6="accent6" hlink="hlink" folHlink="folHlink"/>
    </a:extraClrScheme>
  </a:extraClrSchemeLst>
  <a:custClrLst>
    <a:custClr name="Sensirion Green 100%">
      <a:srgbClr val="66CC33"/>
    </a:custClr>
    <a:custClr name="Sensirion Green 60%">
      <a:srgbClr val="A3E085"/>
    </a:custClr>
    <a:custClr name="Sensirion Green 40%">
      <a:srgbClr val="C2EBAD"/>
    </a:custClr>
    <a:custClr name="Sensirion Green 20%">
      <a:srgbClr val="E0F5D6"/>
    </a:custClr>
    <a:custClr name="Weiss">
      <a:srgbClr val="FFFFFF"/>
    </a:custClr>
    <a:custClr name="Weiss">
      <a:srgbClr val="FFFFFF"/>
    </a:custClr>
    <a:custClr name="Weiss">
      <a:srgbClr val="FFFFFF"/>
    </a:custClr>
    <a:custClr name="PCB Green">
      <a:srgbClr val="024430"/>
    </a:custClr>
    <a:custClr name="Cadmium Blue">
      <a:srgbClr val="004494"/>
    </a:custClr>
    <a:custClr name="Solid Purple">
      <a:srgbClr val="660099"/>
    </a:custClr>
    <a:custClr name="Black 100%">
      <a:srgbClr val="000000"/>
    </a:custClr>
    <a:custClr name="Black 60% - Cool Gray 9">
      <a:srgbClr val="616161"/>
    </a:custClr>
    <a:custClr name="Black 30% - Cool Gray 6">
      <a:srgbClr val="BDBDBD"/>
    </a:custClr>
    <a:custClr name="Black 20% - Cool Gray 2">
      <a:srgbClr val="EEEEEE"/>
    </a:custClr>
    <a:custClr name="Weiss">
      <a:srgbClr val="FFFFFF"/>
    </a:custClr>
    <a:custClr name="Weiss">
      <a:srgbClr val="FFFFFF"/>
    </a:custClr>
    <a:custClr name="Weiss">
      <a:srgbClr val="FFFFFF"/>
    </a:custClr>
    <a:custClr name="Weiss">
      <a:srgbClr val="FFFFFF"/>
    </a:custClr>
    <a:custClr name="Weiss">
      <a:srgbClr val="FFFFFF"/>
    </a:custClr>
    <a:custClr name="Weiss">
      <a:srgbClr val="FFFFFF"/>
    </a:custClr>
    <a:custClr name="Black 100%">
      <a:srgbClr val="000000"/>
    </a:custClr>
    <a:custClr name="Black 90%">
      <a:srgbClr val="191919"/>
    </a:custClr>
    <a:custClr name="Black 80%">
      <a:srgbClr val="333333"/>
    </a:custClr>
    <a:custClr name="Black 70%">
      <a:srgbClr val="4D4D4D"/>
    </a:custClr>
    <a:custClr name="Black 60%">
      <a:srgbClr val="666666"/>
    </a:custClr>
    <a:custClr name="Black 50%">
      <a:srgbClr val="808080"/>
    </a:custClr>
    <a:custClr name="Black 40%">
      <a:srgbClr val="999999"/>
    </a:custClr>
    <a:custClr name="Black 30%">
      <a:srgbClr val="B3B3B3"/>
    </a:custClr>
    <a:custClr name="Black 20%">
      <a:srgbClr val="CCCCCC"/>
    </a:custClr>
    <a:custClr name="Black 10%">
      <a:srgbClr val="E6E6E6"/>
    </a:custClr>
  </a:custClrLst>
  <a:extLst>
    <a:ext uri="{05A4C25C-085E-4340-85A3-A5531E510DB2}">
      <thm15:themeFamily xmlns:thm15="http://schemas.microsoft.com/office/thememl/2012/main" name="Sensirion" id="{6777E48B-2A95-4C2F-B6C2-375E2ACD4838}" vid="{71CDBA1E-0F08-484F-815D-DA716DEDBC0C}"/>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aabecb2-966d-44cb-b246-a4b91e0a39eb">
      <Terms xmlns="http://schemas.microsoft.com/office/infopath/2007/PartnerControls"/>
    </lcf76f155ced4ddcb4097134ff3c332f>
    <TaxCatchAll xmlns="7356de10-6ff8-4377-b220-392ca2b18f8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DD078F2A8263E1459D24A1507EDCA8CF" ma:contentTypeVersion="16" ma:contentTypeDescription="Create a new document." ma:contentTypeScope="" ma:versionID="c499e554397d2911463353f74b94a769">
  <xsd:schema xmlns:xsd="http://www.w3.org/2001/XMLSchema" xmlns:xs="http://www.w3.org/2001/XMLSchema" xmlns:p="http://schemas.microsoft.com/office/2006/metadata/properties" xmlns:ns2="9b096da1-55ae-40f0-828e-d96caf0055d1" xmlns:ns3="0aabecb2-966d-44cb-b246-a4b91e0a39eb" xmlns:ns4="7356de10-6ff8-4377-b220-392ca2b18f81" targetNamespace="http://schemas.microsoft.com/office/2006/metadata/properties" ma:root="true" ma:fieldsID="f65f4b8c438fba5c3d353371e63b9381" ns2:_="" ns3:_="" ns4:_="">
    <xsd:import namespace="9b096da1-55ae-40f0-828e-d96caf0055d1"/>
    <xsd:import namespace="0aabecb2-966d-44cb-b246-a4b91e0a39eb"/>
    <xsd:import namespace="7356de10-6ff8-4377-b220-392ca2b18f8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4:TaxCatchAll" minOccurs="0"/>
                <xsd:element ref="ns3:MediaServiceDateTaken"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096da1-55ae-40f0-828e-d96caf0055d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aabecb2-966d-44cb-b246-a4b91e0a39e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8de631-2c85-4ba1-af09-54e0ec8ee11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56de10-6ff8-4377-b220-392ca2b18f8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1616522-e9f7-47ae-bd46-bb7c804931c5}" ma:internalName="TaxCatchAll" ma:showField="CatchAllData" ma:web="7356de10-6ff8-4377-b220-392ca2b18f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D7CF7A-0851-4313-B2FD-8DB4341E640C}">
  <ds:schemaRefs>
    <ds:schemaRef ds:uri="http://schemas.microsoft.com/office/2006/metadata/properties"/>
    <ds:schemaRef ds:uri="http://schemas.microsoft.com/office/infopath/2007/PartnerControls"/>
    <ds:schemaRef ds:uri="0aabecb2-966d-44cb-b246-a4b91e0a39eb"/>
    <ds:schemaRef ds:uri="7356de10-6ff8-4377-b220-392ca2b18f81"/>
  </ds:schemaRefs>
</ds:datastoreItem>
</file>

<file path=customXml/itemProps2.xml><?xml version="1.0" encoding="utf-8"?>
<ds:datastoreItem xmlns:ds="http://schemas.openxmlformats.org/officeDocument/2006/customXml" ds:itemID="{C2C34F52-750A-4809-A62E-4DD5D8B80ADF}">
  <ds:schemaRefs>
    <ds:schemaRef ds:uri="http://schemas.microsoft.com/sharepoint/v3/contenttype/forms"/>
  </ds:schemaRefs>
</ds:datastoreItem>
</file>

<file path=customXml/itemProps3.xml><?xml version="1.0" encoding="utf-8"?>
<ds:datastoreItem xmlns:ds="http://schemas.openxmlformats.org/officeDocument/2006/customXml" ds:itemID="{8823FE86-530B-4FFF-A37E-0E63A620D75E}">
  <ds:schemaRefs>
    <ds:schemaRef ds:uri="http://schemas.openxmlformats.org/officeDocument/2006/bibliography"/>
  </ds:schemaRefs>
</ds:datastoreItem>
</file>

<file path=customXml/itemProps4.xml><?xml version="1.0" encoding="utf-8"?>
<ds:datastoreItem xmlns:ds="http://schemas.openxmlformats.org/officeDocument/2006/customXml" ds:itemID="{75EA52A1-1EC8-4E2D-A907-04DD551AB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096da1-55ae-40f0-828e-d96caf0055d1"/>
    <ds:schemaRef ds:uri="0aabecb2-966d-44cb-b246-a4b91e0a39eb"/>
    <ds:schemaRef ds:uri="7356de10-6ff8-4377-b220-392ca2b18f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Sensirion_2025_Full_Year_Results_MediaRelease_EN</Template>
  <TotalTime>0</TotalTime>
  <Pages>6</Pages>
  <Words>2695</Words>
  <Characters>16979</Characters>
  <Application>Microsoft Office Word</Application>
  <DocSecurity>0</DocSecurity>
  <Lines>141</Lines>
  <Paragraphs>39</Paragraphs>
  <ScaleCrop>false</ScaleCrop>
  <Company/>
  <LinksUpToDate>false</LinksUpToDate>
  <CharactersWithSpaces>19635</CharactersWithSpaces>
  <SharedDoc>false</SharedDoc>
  <HLinks>
    <vt:vector size="24" baseType="variant">
      <vt:variant>
        <vt:i4>5046340</vt:i4>
      </vt:variant>
      <vt:variant>
        <vt:i4>9</vt:i4>
      </vt:variant>
      <vt:variant>
        <vt:i4>0</vt:i4>
      </vt:variant>
      <vt:variant>
        <vt:i4>5</vt:i4>
      </vt:variant>
      <vt:variant>
        <vt:lpwstr>http://www.sensirion.com/additional-performance-measures</vt:lpwstr>
      </vt:variant>
      <vt:variant>
        <vt:lpwstr/>
      </vt:variant>
      <vt:variant>
        <vt:i4>5636122</vt:i4>
      </vt:variant>
      <vt:variant>
        <vt:i4>6</vt:i4>
      </vt:variant>
      <vt:variant>
        <vt:i4>0</vt:i4>
      </vt:variant>
      <vt:variant>
        <vt:i4>5</vt:i4>
      </vt:variant>
      <vt:variant>
        <vt:lpwstr>http://www.sensirion.com/</vt:lpwstr>
      </vt:variant>
      <vt:variant>
        <vt:lpwstr/>
      </vt:variant>
      <vt:variant>
        <vt:i4>4980766</vt:i4>
      </vt:variant>
      <vt:variant>
        <vt:i4>3</vt:i4>
      </vt:variant>
      <vt:variant>
        <vt:i4>0</vt:i4>
      </vt:variant>
      <vt:variant>
        <vt:i4>5</vt:i4>
      </vt:variant>
      <vt:variant>
        <vt:lpwstr>https://sensirion.com/company/investor-relations/results-reports</vt:lpwstr>
      </vt:variant>
      <vt:variant>
        <vt:lpwstr/>
      </vt:variant>
      <vt:variant>
        <vt:i4>4128809</vt:i4>
      </vt:variant>
      <vt:variant>
        <vt:i4>0</vt:i4>
      </vt:variant>
      <vt:variant>
        <vt:i4>0</vt:i4>
      </vt:variant>
      <vt:variant>
        <vt:i4>5</vt:i4>
      </vt:variant>
      <vt:variant>
        <vt:lpwstr>https://attendee.gotowebinar.com/register/6205132807479845206?source=pr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Template</dc:title>
  <dc:subject/>
  <dc:creator>Barbara Thurnherr</dc:creator>
  <cp:keywords/>
  <dc:description/>
  <cp:lastModifiedBy>Barbara Thurnherr</cp:lastModifiedBy>
  <cp:revision>5</cp:revision>
  <cp:lastPrinted>2023-10-09T08:18:00Z</cp:lastPrinted>
  <dcterms:created xsi:type="dcterms:W3CDTF">2026-03-08T18:12:00Z</dcterms:created>
  <dcterms:modified xsi:type="dcterms:W3CDTF">2026-03-09T15:54:00Z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0x010100DD078F2A8263E1459D24A1507EDCA8CF</vt:lpwstr>
  </property>
  <property fmtid="{D5CDD505-2E9C-101B-9397-08002B2CF9AE}" pid="4" name="MSIP_Label_8b833d12-c387-4ee1-b3ed-d59690047b70_Enabled">
    <vt:lpwstr>true</vt:lpwstr>
  </property>
  <property fmtid="{D5CDD505-2E9C-101B-9397-08002B2CF9AE}" pid="5" name="MSIP_Label_8b833d12-c387-4ee1-b3ed-d59690047b70_SetDate">
    <vt:lpwstr>2026-02-23T20:29:36Z</vt:lpwstr>
  </property>
  <property fmtid="{D5CDD505-2E9C-101B-9397-08002B2CF9AE}" pid="6" name="MSIP_Label_8b833d12-c387-4ee1-b3ed-d59690047b70_Method">
    <vt:lpwstr>Standard</vt:lpwstr>
  </property>
  <property fmtid="{D5CDD505-2E9C-101B-9397-08002B2CF9AE}" pid="7" name="MSIP_Label_8b833d12-c387-4ee1-b3ed-d59690047b70_Name">
    <vt:lpwstr>D5</vt:lpwstr>
  </property>
  <property fmtid="{D5CDD505-2E9C-101B-9397-08002B2CF9AE}" pid="8" name="MSIP_Label_8b833d12-c387-4ee1-b3ed-d59690047b70_SiteId">
    <vt:lpwstr>97b70348-6168-425b-8cee-4328b09d7ddd</vt:lpwstr>
  </property>
  <property fmtid="{D5CDD505-2E9C-101B-9397-08002B2CF9AE}" pid="9" name="MSIP_Label_8b833d12-c387-4ee1-b3ed-d59690047b70_ActionId">
    <vt:lpwstr>ec0959cd-b3d9-4794-9498-c56c6594d52f</vt:lpwstr>
  </property>
  <property fmtid="{D5CDD505-2E9C-101B-9397-08002B2CF9AE}" pid="10" name="MSIP_Label_8b833d12-c387-4ee1-b3ed-d59690047b70_ContentBits">
    <vt:lpwstr>0</vt:lpwstr>
  </property>
  <property fmtid="{D5CDD505-2E9C-101B-9397-08002B2CF9AE}" pid="11" name="MSIP_Label_8b833d12-c387-4ee1-b3ed-d59690047b70_Tag">
    <vt:lpwstr>10, 3, 0, 1</vt:lpwstr>
  </property>
  <property fmtid="{D5CDD505-2E9C-101B-9397-08002B2CF9AE}" pid="12" name="docLang">
    <vt:lpwstr>en</vt:lpwstr>
  </property>
</Properties>
</file>